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7241EC" w:rsidRDefault="00E13E6B" w:rsidP="00531D1E">
      <w:pPr>
        <w:ind w:left="2835" w:right="1843" w:hanging="992"/>
        <w:jc w:val="both"/>
        <w:rPr>
          <w:rFonts w:ascii="Tahoma" w:hAnsi="Tahoma" w:cs="Tahoma"/>
          <w:i/>
          <w:sz w:val="16"/>
          <w:szCs w:val="16"/>
        </w:rPr>
      </w:pPr>
      <w:r w:rsidRPr="007241EC">
        <w:rPr>
          <w:rFonts w:ascii="Tahoma" w:hAnsi="Tahoma" w:cs="Tahoma"/>
          <w:b/>
          <w:i/>
          <w:sz w:val="16"/>
          <w:szCs w:val="16"/>
        </w:rPr>
        <w:t xml:space="preserve">Sumilla: </w:t>
      </w:r>
      <w:r w:rsidR="005E6E6D" w:rsidRPr="007241EC">
        <w:rPr>
          <w:rFonts w:ascii="Tahoma" w:hAnsi="Tahoma" w:cs="Tahoma"/>
          <w:b/>
          <w:i/>
          <w:sz w:val="16"/>
          <w:szCs w:val="16"/>
        </w:rPr>
        <w:t xml:space="preserve">  </w:t>
      </w:r>
      <w:r w:rsidR="007241EC">
        <w:rPr>
          <w:rFonts w:ascii="Tahoma" w:hAnsi="Tahoma" w:cs="Tahoma"/>
          <w:b/>
          <w:i/>
          <w:sz w:val="16"/>
          <w:szCs w:val="16"/>
        </w:rPr>
        <w:t xml:space="preserve">  </w:t>
      </w:r>
      <w:r w:rsidR="00635F2E" w:rsidRPr="007241EC">
        <w:rPr>
          <w:rFonts w:ascii="Tahoma" w:hAnsi="Tahoma" w:cs="Tahoma"/>
          <w:b/>
          <w:i/>
          <w:sz w:val="16"/>
          <w:szCs w:val="16"/>
        </w:rPr>
        <w:t>“</w:t>
      </w:r>
      <w:r w:rsidR="0070531A" w:rsidRPr="007241EC">
        <w:rPr>
          <w:rFonts w:ascii="Tahoma" w:hAnsi="Tahoma" w:cs="Tahoma"/>
          <w:i/>
          <w:sz w:val="16"/>
          <w:szCs w:val="16"/>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r w:rsidR="00635F2E" w:rsidRPr="007241EC">
        <w:rPr>
          <w:rFonts w:ascii="Tahoma" w:hAnsi="Tahoma" w:cs="Tahoma"/>
          <w:i/>
          <w:sz w:val="16"/>
          <w:szCs w:val="16"/>
        </w:rPr>
        <w:t>”.</w:t>
      </w:r>
    </w:p>
    <w:p w:rsidR="00E13E6B" w:rsidRPr="007241EC" w:rsidRDefault="00E13E6B" w:rsidP="00E13E6B">
      <w:pPr>
        <w:ind w:left="2268" w:right="1843"/>
        <w:jc w:val="both"/>
        <w:rPr>
          <w:rFonts w:ascii="Tahoma" w:hAnsi="Tahoma" w:cs="Tahoma"/>
          <w:b/>
          <w:i/>
          <w:sz w:val="20"/>
          <w:szCs w:val="20"/>
          <w:highlight w:val="yellow"/>
        </w:rPr>
      </w:pPr>
    </w:p>
    <w:p w:rsidR="00E13E6B" w:rsidRPr="007241EC" w:rsidRDefault="00E13E6B" w:rsidP="00E13E6B">
      <w:pPr>
        <w:pStyle w:val="Textoindependiente3"/>
        <w:ind w:left="4956" w:firstLine="708"/>
        <w:jc w:val="both"/>
        <w:rPr>
          <w:rFonts w:ascii="Tahoma" w:hAnsi="Tahoma" w:cs="Tahoma"/>
        </w:rPr>
      </w:pPr>
      <w:r w:rsidRPr="007241EC">
        <w:rPr>
          <w:rFonts w:ascii="Tahoma" w:hAnsi="Tahoma" w:cs="Tahoma"/>
        </w:rPr>
        <w:t xml:space="preserve">Lima, </w:t>
      </w:r>
      <w:r w:rsidR="00BE401F">
        <w:rPr>
          <w:rFonts w:ascii="Tahoma" w:hAnsi="Tahoma" w:cs="Tahoma"/>
        </w:rPr>
        <w:t>06 de Julio de 2011</w:t>
      </w:r>
    </w:p>
    <w:p w:rsidR="00E13E6B" w:rsidRPr="007241EC" w:rsidRDefault="00E13E6B" w:rsidP="00E13E6B">
      <w:pPr>
        <w:pStyle w:val="Textoindependiente3"/>
        <w:jc w:val="both"/>
        <w:rPr>
          <w:rFonts w:ascii="Tahoma" w:hAnsi="Tahoma" w:cs="Tahoma"/>
          <w:b w:val="0"/>
          <w:lang w:val="es-ES"/>
        </w:rPr>
      </w:pPr>
    </w:p>
    <w:p w:rsidR="00E13E6B" w:rsidRPr="007241EC" w:rsidRDefault="00E13E6B" w:rsidP="00E13E6B">
      <w:pPr>
        <w:ind w:firstLine="708"/>
        <w:jc w:val="both"/>
        <w:rPr>
          <w:rFonts w:ascii="Tahoma" w:hAnsi="Tahoma" w:cs="Tahoma"/>
          <w:sz w:val="20"/>
          <w:szCs w:val="20"/>
        </w:rPr>
      </w:pPr>
      <w:r w:rsidRPr="007241EC">
        <w:rPr>
          <w:rFonts w:ascii="Tahoma" w:hAnsi="Tahoma" w:cs="Tahoma"/>
          <w:b/>
          <w:sz w:val="20"/>
          <w:szCs w:val="20"/>
        </w:rPr>
        <w:t>VISTO,</w:t>
      </w:r>
      <w:r w:rsidRPr="007241EC">
        <w:rPr>
          <w:rFonts w:ascii="Tahoma" w:hAnsi="Tahoma" w:cs="Tahoma"/>
          <w:sz w:val="20"/>
          <w:szCs w:val="20"/>
        </w:rPr>
        <w:t xml:space="preserve"> en sesión de fecha </w:t>
      </w:r>
      <w:r w:rsidR="00050A76" w:rsidRPr="007241EC">
        <w:rPr>
          <w:rFonts w:ascii="Tahoma" w:hAnsi="Tahoma" w:cs="Tahoma"/>
          <w:sz w:val="20"/>
          <w:szCs w:val="20"/>
        </w:rPr>
        <w:t>06 de julio</w:t>
      </w:r>
      <w:r w:rsidR="00D43251" w:rsidRPr="007241EC">
        <w:rPr>
          <w:rFonts w:ascii="Tahoma" w:hAnsi="Tahoma" w:cs="Tahoma"/>
          <w:sz w:val="20"/>
          <w:szCs w:val="20"/>
        </w:rPr>
        <w:t xml:space="preserve"> </w:t>
      </w:r>
      <w:r w:rsidR="00531D1E" w:rsidRPr="007241EC">
        <w:rPr>
          <w:rFonts w:ascii="Tahoma" w:hAnsi="Tahoma" w:cs="Tahoma"/>
          <w:sz w:val="20"/>
          <w:szCs w:val="20"/>
        </w:rPr>
        <w:t>de 2011</w:t>
      </w:r>
      <w:r w:rsidRPr="007241EC">
        <w:rPr>
          <w:rFonts w:ascii="Tahoma" w:hAnsi="Tahoma" w:cs="Tahoma"/>
          <w:sz w:val="20"/>
          <w:szCs w:val="20"/>
        </w:rPr>
        <w:t xml:space="preserve"> de la </w:t>
      </w:r>
      <w:r w:rsidR="001776B6" w:rsidRPr="007241EC">
        <w:rPr>
          <w:rFonts w:ascii="Tahoma" w:hAnsi="Tahoma" w:cs="Tahoma"/>
          <w:sz w:val="20"/>
          <w:szCs w:val="20"/>
        </w:rPr>
        <w:t>Primera</w:t>
      </w:r>
      <w:r w:rsidRPr="007241EC">
        <w:rPr>
          <w:rFonts w:ascii="Tahoma" w:hAnsi="Tahoma" w:cs="Tahoma"/>
          <w:sz w:val="20"/>
          <w:szCs w:val="20"/>
        </w:rPr>
        <w:t xml:space="preserve"> Sala del Tribunal de Contrataciones del Estado el Expediente № </w:t>
      </w:r>
      <w:r w:rsidR="0070531A" w:rsidRPr="007241EC">
        <w:rPr>
          <w:rFonts w:ascii="Tahoma" w:hAnsi="Tahoma" w:cs="Tahoma"/>
          <w:sz w:val="20"/>
          <w:szCs w:val="20"/>
        </w:rPr>
        <w:t>158</w:t>
      </w:r>
      <w:r w:rsidR="00531D1E" w:rsidRPr="007241EC">
        <w:rPr>
          <w:rFonts w:ascii="Tahoma" w:hAnsi="Tahoma" w:cs="Tahoma"/>
          <w:sz w:val="20"/>
          <w:szCs w:val="20"/>
        </w:rPr>
        <w:t>/20</w:t>
      </w:r>
      <w:r w:rsidR="00222218" w:rsidRPr="007241EC">
        <w:rPr>
          <w:rFonts w:ascii="Tahoma" w:hAnsi="Tahoma" w:cs="Tahoma"/>
          <w:sz w:val="20"/>
          <w:szCs w:val="20"/>
        </w:rPr>
        <w:t>1</w:t>
      </w:r>
      <w:r w:rsidR="007241EC">
        <w:rPr>
          <w:rFonts w:ascii="Tahoma" w:hAnsi="Tahoma" w:cs="Tahoma"/>
          <w:sz w:val="20"/>
          <w:szCs w:val="20"/>
        </w:rPr>
        <w:t>1</w:t>
      </w:r>
      <w:r w:rsidRPr="007241EC">
        <w:rPr>
          <w:rFonts w:ascii="Tahoma" w:hAnsi="Tahoma" w:cs="Tahoma"/>
          <w:sz w:val="20"/>
          <w:szCs w:val="20"/>
        </w:rPr>
        <w:t>.TC, sobre procedimiento administrativo sancionador contra</w:t>
      </w:r>
      <w:r w:rsidR="00140241" w:rsidRPr="007241EC">
        <w:rPr>
          <w:rFonts w:ascii="Tahoma" w:hAnsi="Tahoma" w:cs="Tahoma"/>
          <w:sz w:val="20"/>
          <w:szCs w:val="20"/>
        </w:rPr>
        <w:t xml:space="preserve"> </w:t>
      </w:r>
      <w:r w:rsidR="00050A76" w:rsidRPr="007241EC">
        <w:rPr>
          <w:rFonts w:ascii="Tahoma" w:hAnsi="Tahoma" w:cs="Tahoma"/>
          <w:sz w:val="20"/>
          <w:szCs w:val="20"/>
        </w:rPr>
        <w:t xml:space="preserve">la empresa </w:t>
      </w:r>
      <w:r w:rsidR="0070531A" w:rsidRPr="007241EC">
        <w:rPr>
          <w:rFonts w:ascii="Tahoma" w:hAnsi="Tahoma" w:cs="Tahoma"/>
          <w:sz w:val="20"/>
          <w:szCs w:val="20"/>
        </w:rPr>
        <w:t>DENTI-LAB DEL PERU S.R.L.</w:t>
      </w:r>
      <w:r w:rsidR="00050A76" w:rsidRPr="007241EC">
        <w:rPr>
          <w:rFonts w:ascii="Tahoma" w:hAnsi="Tahoma" w:cs="Tahoma"/>
          <w:sz w:val="20"/>
          <w:szCs w:val="20"/>
        </w:rPr>
        <w:t xml:space="preserve"> </w:t>
      </w:r>
      <w:r w:rsidRPr="007241EC">
        <w:rPr>
          <w:rFonts w:ascii="Tahoma" w:hAnsi="Tahoma" w:cs="Tahoma"/>
          <w:sz w:val="20"/>
          <w:szCs w:val="20"/>
        </w:rPr>
        <w:t xml:space="preserve">por supuesta responsabilidad en la resolución </w:t>
      </w:r>
      <w:r w:rsidR="00076C20" w:rsidRPr="007241EC">
        <w:rPr>
          <w:rFonts w:ascii="Tahoma" w:hAnsi="Tahoma" w:cs="Tahoma"/>
          <w:sz w:val="20"/>
          <w:szCs w:val="20"/>
        </w:rPr>
        <w:t>de</w:t>
      </w:r>
      <w:r w:rsidR="00D66D64" w:rsidRPr="007241EC">
        <w:rPr>
          <w:rFonts w:ascii="Tahoma" w:hAnsi="Tahoma" w:cs="Tahoma"/>
          <w:sz w:val="20"/>
          <w:szCs w:val="20"/>
        </w:rPr>
        <w:t>l</w:t>
      </w:r>
      <w:r w:rsidR="00076C20" w:rsidRPr="007241EC">
        <w:rPr>
          <w:rFonts w:ascii="Tahoma" w:hAnsi="Tahoma" w:cs="Tahoma"/>
          <w:sz w:val="20"/>
          <w:szCs w:val="20"/>
        </w:rPr>
        <w:t xml:space="preserve"> </w:t>
      </w:r>
      <w:r w:rsidR="0070531A" w:rsidRPr="007241EC">
        <w:rPr>
          <w:rFonts w:ascii="Tahoma" w:hAnsi="Tahoma" w:cs="Tahoma"/>
          <w:sz w:val="20"/>
          <w:szCs w:val="20"/>
        </w:rPr>
        <w:t xml:space="preserve">Contrato № 4600029328 </w:t>
      </w:r>
      <w:r w:rsidR="00822C2F" w:rsidRPr="007241EC">
        <w:rPr>
          <w:rFonts w:ascii="Tahoma" w:hAnsi="Tahoma" w:cs="Tahoma"/>
          <w:sz w:val="20"/>
          <w:szCs w:val="20"/>
        </w:rPr>
        <w:t xml:space="preserve">por causa atribuible a </w:t>
      </w:r>
      <w:r w:rsidR="00050A76" w:rsidRPr="007241EC">
        <w:rPr>
          <w:rFonts w:ascii="Tahoma" w:hAnsi="Tahoma" w:cs="Tahoma"/>
          <w:sz w:val="20"/>
          <w:szCs w:val="20"/>
        </w:rPr>
        <w:t>ella</w:t>
      </w:r>
      <w:r w:rsidR="00466DC8" w:rsidRPr="007241EC">
        <w:rPr>
          <w:rFonts w:ascii="Tahoma" w:hAnsi="Tahoma" w:cs="Tahoma"/>
          <w:sz w:val="20"/>
          <w:szCs w:val="20"/>
        </w:rPr>
        <w:t>, derivada</w:t>
      </w:r>
      <w:r w:rsidR="000B0A8A" w:rsidRPr="007241EC">
        <w:rPr>
          <w:rFonts w:ascii="Tahoma" w:hAnsi="Tahoma" w:cs="Tahoma"/>
          <w:sz w:val="20"/>
          <w:szCs w:val="20"/>
        </w:rPr>
        <w:t xml:space="preserve"> de la</w:t>
      </w:r>
      <w:r w:rsidRPr="007241EC">
        <w:rPr>
          <w:rFonts w:ascii="Tahoma" w:hAnsi="Tahoma" w:cs="Tahoma"/>
          <w:sz w:val="20"/>
          <w:szCs w:val="20"/>
        </w:rPr>
        <w:t xml:space="preserve"> </w:t>
      </w:r>
      <w:r w:rsidR="0070531A" w:rsidRPr="007241EC">
        <w:rPr>
          <w:rFonts w:ascii="Tahoma" w:hAnsi="Tahoma" w:cs="Tahoma"/>
          <w:sz w:val="20"/>
          <w:szCs w:val="20"/>
        </w:rPr>
        <w:t>Licitación Pública № 7-2007-ESSALUD/GCL</w:t>
      </w:r>
      <w:r w:rsidR="00050A76" w:rsidRPr="007241EC">
        <w:rPr>
          <w:rFonts w:ascii="Tahoma" w:hAnsi="Tahoma" w:cs="Tahoma"/>
          <w:sz w:val="20"/>
          <w:szCs w:val="20"/>
        </w:rPr>
        <w:t>,</w:t>
      </w:r>
      <w:r w:rsidR="00D43251" w:rsidRPr="007241EC">
        <w:rPr>
          <w:rFonts w:ascii="Tahoma" w:hAnsi="Tahoma" w:cs="Tahoma"/>
          <w:sz w:val="20"/>
          <w:szCs w:val="20"/>
        </w:rPr>
        <w:t xml:space="preserve"> </w:t>
      </w:r>
      <w:r w:rsidR="008422E3" w:rsidRPr="007241EC">
        <w:rPr>
          <w:rFonts w:ascii="Tahoma" w:hAnsi="Tahoma" w:cs="Tahoma"/>
          <w:sz w:val="20"/>
          <w:szCs w:val="20"/>
        </w:rPr>
        <w:t>primera</w:t>
      </w:r>
      <w:r w:rsidR="00D43251" w:rsidRPr="007241EC">
        <w:rPr>
          <w:rFonts w:ascii="Tahoma" w:hAnsi="Tahoma" w:cs="Tahoma"/>
          <w:sz w:val="20"/>
          <w:szCs w:val="20"/>
        </w:rPr>
        <w:t xml:space="preserve"> convocatoria</w:t>
      </w:r>
      <w:r w:rsidRPr="007241EC">
        <w:rPr>
          <w:rFonts w:ascii="Tahoma" w:hAnsi="Tahoma" w:cs="Tahoma"/>
          <w:sz w:val="20"/>
          <w:szCs w:val="20"/>
        </w:rPr>
        <w:t xml:space="preserve">, </w:t>
      </w:r>
      <w:r w:rsidR="00D43251" w:rsidRPr="007241EC">
        <w:rPr>
          <w:rFonts w:ascii="Tahoma" w:hAnsi="Tahoma" w:cs="Tahoma"/>
          <w:sz w:val="20"/>
          <w:szCs w:val="20"/>
        </w:rPr>
        <w:t xml:space="preserve">realizada por </w:t>
      </w:r>
      <w:r w:rsidR="0070531A" w:rsidRPr="007241EC">
        <w:rPr>
          <w:rFonts w:ascii="Tahoma" w:hAnsi="Tahoma" w:cs="Tahoma"/>
          <w:sz w:val="20"/>
          <w:szCs w:val="20"/>
        </w:rPr>
        <w:t>el Seguro Social de Salud,</w:t>
      </w:r>
      <w:r w:rsidR="00797C9F" w:rsidRPr="007241EC">
        <w:rPr>
          <w:rFonts w:ascii="Tahoma" w:hAnsi="Tahoma" w:cs="Tahoma"/>
          <w:sz w:val="20"/>
          <w:szCs w:val="20"/>
        </w:rPr>
        <w:t xml:space="preserve"> para la “</w:t>
      </w:r>
      <w:r w:rsidR="0070531A" w:rsidRPr="007241EC">
        <w:rPr>
          <w:rFonts w:ascii="Tahoma" w:hAnsi="Tahoma" w:cs="Tahoma"/>
          <w:sz w:val="20"/>
          <w:szCs w:val="20"/>
        </w:rPr>
        <w:t>Adquisición de Material Médico</w:t>
      </w:r>
      <w:r w:rsidR="00797C9F" w:rsidRPr="007241EC">
        <w:rPr>
          <w:rFonts w:ascii="Tahoma" w:hAnsi="Tahoma" w:cs="Tahoma"/>
          <w:sz w:val="20"/>
          <w:szCs w:val="20"/>
        </w:rPr>
        <w:t>”</w:t>
      </w:r>
      <w:r w:rsidRPr="007241EC">
        <w:rPr>
          <w:rFonts w:ascii="Tahoma" w:hAnsi="Tahoma" w:cs="Tahoma"/>
          <w:sz w:val="20"/>
          <w:szCs w:val="20"/>
        </w:rPr>
        <w:t xml:space="preserve">, y; atendiendo a los siguientes:  </w:t>
      </w:r>
    </w:p>
    <w:p w:rsidR="00E13E6B" w:rsidRPr="007241EC" w:rsidRDefault="00E13E6B" w:rsidP="00E13E6B">
      <w:pPr>
        <w:ind w:right="45"/>
        <w:jc w:val="both"/>
        <w:rPr>
          <w:rFonts w:ascii="Tahoma" w:hAnsi="Tahoma" w:cs="Tahoma"/>
          <w:b/>
          <w:sz w:val="20"/>
          <w:szCs w:val="20"/>
        </w:rPr>
      </w:pPr>
    </w:p>
    <w:p w:rsidR="00E13E6B" w:rsidRPr="007241EC" w:rsidRDefault="00E13E6B" w:rsidP="00E13E6B">
      <w:pPr>
        <w:ind w:firstLine="567"/>
        <w:jc w:val="both"/>
        <w:rPr>
          <w:rFonts w:ascii="Tahoma" w:hAnsi="Tahoma" w:cs="Tahoma"/>
          <w:b/>
          <w:sz w:val="20"/>
          <w:szCs w:val="20"/>
        </w:rPr>
      </w:pPr>
      <w:r w:rsidRPr="007241EC">
        <w:rPr>
          <w:rFonts w:ascii="Tahoma" w:hAnsi="Tahoma" w:cs="Tahoma"/>
          <w:b/>
          <w:sz w:val="20"/>
          <w:szCs w:val="20"/>
        </w:rPr>
        <w:t>ANTECEDENTES:</w:t>
      </w:r>
    </w:p>
    <w:p w:rsidR="00E13E6B" w:rsidRPr="007241EC" w:rsidRDefault="00E13E6B" w:rsidP="00E13E6B">
      <w:pPr>
        <w:ind w:left="426"/>
        <w:jc w:val="both"/>
        <w:rPr>
          <w:rFonts w:ascii="Tahoma" w:hAnsi="Tahoma" w:cs="Tahoma"/>
          <w:b/>
          <w:bCs/>
          <w:shadow/>
          <w:sz w:val="20"/>
          <w:szCs w:val="20"/>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rPr>
        <w:t>El 15 de junio de 2007, el Seguro Social de Salud, en adelante la Entidad, convocó la Licitación Pública № 7-2007-ESSALUD/GCL, primera convocatoria, según relación de ítems, para adquisición de material médico, bajo el sistema de precios unitarios y por un valor referencial ascendente a S/. 37 608,907.11 (Treinta y siete millones seiscientos ocho mil novecientos siete con 11/100 nuevos soles), incluido el Impuesto General a las Ventas (I.G.V.).</w:t>
      </w:r>
    </w:p>
    <w:p w:rsidR="0070531A" w:rsidRPr="007241EC" w:rsidRDefault="0070531A" w:rsidP="0070531A">
      <w:pPr>
        <w:ind w:left="540"/>
        <w:jc w:val="both"/>
        <w:rPr>
          <w:rFonts w:ascii="Tahoma" w:hAnsi="Tahoma" w:cs="Tahoma"/>
          <w:sz w:val="20"/>
          <w:szCs w:val="20"/>
          <w:lang w:val="es-PE"/>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rPr>
        <w:t>Como resultado del proceso de selección, el 12 de noviembre de 2007, el Comité Especial otorgó la Buena Pro del ítem № 18 (Jeringa para determinar gases en sangre) a la empresa DENTI-LAB DEL PERU SRLTDA, por su oferta económica ascendente a S/. 1 984 948.00.</w:t>
      </w:r>
    </w:p>
    <w:p w:rsidR="0070531A" w:rsidRPr="007241EC" w:rsidRDefault="0070531A" w:rsidP="0070531A">
      <w:pPr>
        <w:pStyle w:val="Prrafodelista"/>
        <w:rPr>
          <w:rFonts w:ascii="Tahoma" w:hAnsi="Tahoma" w:cs="Tahoma"/>
          <w:lang w:val="es-PE"/>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rPr>
        <w:t>El 08 de agosto de 2008, la Entidad y la empresa DENTI-LAB DEL PERU SRLTDA</w:t>
      </w:r>
      <w:r w:rsidRPr="007241EC">
        <w:rPr>
          <w:rFonts w:ascii="Tahoma" w:hAnsi="Tahoma" w:cs="Tahoma"/>
          <w:sz w:val="20"/>
          <w:szCs w:val="20"/>
          <w:lang w:val="es-PE"/>
        </w:rPr>
        <w:t>, en lo sucesivo el Contratista, suscribieron el Contrato № 4600029328, para la adquisición de jeringas para determinar gases en sangre</w:t>
      </w:r>
      <w:r w:rsidRPr="007241EC">
        <w:rPr>
          <w:rFonts w:ascii="Tahoma" w:hAnsi="Tahoma" w:cs="Tahoma"/>
          <w:sz w:val="20"/>
          <w:szCs w:val="20"/>
        </w:rPr>
        <w:t>, por el monto de S/. 1 984 948.00</w:t>
      </w:r>
      <w:r w:rsidRPr="007241EC">
        <w:rPr>
          <w:rFonts w:ascii="Tahoma" w:hAnsi="Tahoma" w:cs="Tahoma"/>
          <w:bCs/>
          <w:sz w:val="20"/>
          <w:szCs w:val="20"/>
        </w:rPr>
        <w:t>, y con un plazo de ejecución contractual que a tenor de la Cláusula Primeras era de doce (12) meses.</w:t>
      </w:r>
    </w:p>
    <w:p w:rsidR="0070531A" w:rsidRPr="007241EC" w:rsidRDefault="0070531A" w:rsidP="0070531A">
      <w:pPr>
        <w:pStyle w:val="Prrafodelista"/>
        <w:rPr>
          <w:rFonts w:ascii="Tahoma" w:hAnsi="Tahoma" w:cs="Tahoma"/>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rPr>
        <w:t>Mediante Carta DL/V № 327-08 presentada el 17 de septiembre de 2008, el Contratista comunicó a la Entidad, que se veía impedido de esterilizar el producto ofertado con el método de rayos Gamma</w:t>
      </w:r>
      <w:r w:rsidRPr="007241EC">
        <w:rPr>
          <w:rStyle w:val="Refdenotaalpie"/>
          <w:rFonts w:ascii="Tahoma" w:hAnsi="Tahoma" w:cs="Tahoma"/>
          <w:sz w:val="20"/>
          <w:szCs w:val="20"/>
        </w:rPr>
        <w:footnoteReference w:id="2"/>
      </w:r>
      <w:r w:rsidRPr="007241EC">
        <w:rPr>
          <w:rFonts w:ascii="Tahoma" w:hAnsi="Tahoma" w:cs="Tahoma"/>
          <w:sz w:val="20"/>
          <w:szCs w:val="20"/>
        </w:rPr>
        <w:t>, toda vez que la empresa INMUNE SA, no podía esterilizar los bienes adjudicados debido a que ésta había sobrepasado el máximo de su capacidad instalada; razón por la cual, solicitó a la Entidad que le autorice el internamiento de los citados bienes utilizando el método de óxido de etileno, ello en la medida de que éste también fue requerido en las especificaciones técnicas de las Bases del presente proceso de selección.</w:t>
      </w:r>
    </w:p>
    <w:p w:rsidR="0070531A" w:rsidRPr="007241EC" w:rsidRDefault="0070531A" w:rsidP="0070531A">
      <w:pPr>
        <w:pStyle w:val="Prrafodelista"/>
        <w:rPr>
          <w:rFonts w:ascii="Tahoma" w:hAnsi="Tahoma" w:cs="Tahoma"/>
          <w:lang w:val="es-PE"/>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lang w:val="es-PE"/>
        </w:rPr>
        <w:t>En atención a ello, a través de la Carta № 2162-SGCSyAP-GA-GCL-OGA-ESSALUD-2008 notificada el 24 de octubre de 2008, la Entidad indicó al Contratista que de acuerdo a la opinión de la Oficina Central de Asesoría Jurídica, no procedía su solicitud de cambio de esterilización para los productos adjudicados –jeringa para determinar gases en sangre– y, por consiguiente, cumpla con internar los citados bienes conforme a su propuesta técnica presentada en el referido proceso de selección.</w:t>
      </w:r>
    </w:p>
    <w:p w:rsidR="0070531A" w:rsidRPr="007241EC" w:rsidRDefault="0070531A" w:rsidP="0070531A">
      <w:pPr>
        <w:pStyle w:val="Prrafodelista"/>
        <w:rPr>
          <w:rFonts w:ascii="Tahoma" w:hAnsi="Tahoma" w:cs="Tahoma"/>
          <w:lang w:val="es-PE"/>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lang w:val="es-PE"/>
        </w:rPr>
        <w:t xml:space="preserve">Con Carta DL/V № 382-08 presentada el 21 de octubre de 2008, el Contratista solicitó a la Entidad, que le conceda el plazo de treinta (30) días a efectos de cumplir con la primera entrega de las jeringas de acuerdo a lo ofertado, y de no ser el caso, se le permita entregar el producto esterilizado vía oxido etileno, considerando la situación imprevisible, extraordinaria y sobreviniente de la imposibilidad material para acceder al servicio de radiación gamma.  </w:t>
      </w:r>
    </w:p>
    <w:p w:rsidR="0070531A" w:rsidRPr="007241EC" w:rsidRDefault="0070531A" w:rsidP="0070531A">
      <w:pPr>
        <w:pStyle w:val="Prrafodelista"/>
        <w:rPr>
          <w:rFonts w:ascii="Tahoma" w:hAnsi="Tahoma" w:cs="Tahoma"/>
          <w:lang w:val="es-PE"/>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lang w:val="es-PE"/>
        </w:rPr>
        <w:t xml:space="preserve">En ese sentido, mediante Carta № 1045-GA-BCL-OGA-ESSALUD-2008 notificada el 03 de noviembre de 2008, la Entidad comunicó al Contratista que resultaba improcedente la ampliación de plazo solicitada, careciendo de asidero que su Institución vuelva emitir pronunciamiento sobre el internamiento de los bienes que no cumplan con lo ofertado en su propuesta técnica. Razón por la cual, la Entidad remetió al Contratista la Carta Notarial de fecha 06 de noviembre de 2008, en la cual le otorgó el plazo de tres (03) días para que cumpla con sus obligaciones contractuales. </w:t>
      </w:r>
    </w:p>
    <w:p w:rsidR="0070531A" w:rsidRPr="007241EC" w:rsidRDefault="0070531A" w:rsidP="0070531A">
      <w:pPr>
        <w:pStyle w:val="Prrafodelista"/>
        <w:rPr>
          <w:rFonts w:ascii="Tahoma" w:hAnsi="Tahoma" w:cs="Tahoma"/>
          <w:lang w:val="es-PE"/>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lang w:val="es-PE"/>
        </w:rPr>
        <w:t>A través de la Carta DL/V № 03-09 presentada el 05 de enero de 2009, el Contratista solicitó a la Entidad una aclaración técnica, en lo referido a que las jeringas para determinar gases en la sangre de la marca “Hepatest” cumple con ser biológicamente estéril mediante el método de esterilización por gas Oxido de etileno. Ante ello, la Entidad le cursó la Carta № 558-GCPS-ESSALUD-2009, mediante el cual le comunicó que el tratamiento por rayos gamama tenía mejores ventajas sobre el método de oxido de etileno, esto es, mayor garantía de la esterilidad del producto; así como la ausencia de residuos.</w:t>
      </w:r>
    </w:p>
    <w:p w:rsidR="0070531A" w:rsidRPr="007241EC" w:rsidRDefault="0070531A" w:rsidP="0070531A">
      <w:pPr>
        <w:pStyle w:val="Prrafodelista"/>
        <w:rPr>
          <w:rFonts w:ascii="Tahoma" w:hAnsi="Tahoma" w:cs="Tahoma"/>
          <w:lang w:val="es-PE"/>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lang w:val="es-PE"/>
        </w:rPr>
        <w:t xml:space="preserve">Con Carta № 1223-GCPS-ESSALUD-2009 de fecha 11 de febrero de 2009, el Gerente Central de Prestaciones de Salud de la Entidad comunicó al Gerente Central de Logística de la Entidad, que de la evaluación realizada a los protocolos de análisis correspondientes a los lotes № 01108Ñ8 y № 01216Ñ8 del producto internado por el Contratista, no se podía advertir el método de esterilización al que fueron sometidos éstos. </w:t>
      </w:r>
    </w:p>
    <w:p w:rsidR="0070531A" w:rsidRPr="007241EC" w:rsidRDefault="0070531A" w:rsidP="0070531A">
      <w:pPr>
        <w:pStyle w:val="Prrafodelista"/>
        <w:rPr>
          <w:rFonts w:ascii="Tahoma" w:hAnsi="Tahoma" w:cs="Tahoma"/>
          <w:lang w:val="es-PE"/>
        </w:rPr>
      </w:pPr>
    </w:p>
    <w:p w:rsidR="0070531A" w:rsidRPr="007241EC" w:rsidRDefault="0070531A" w:rsidP="0070531A">
      <w:pPr>
        <w:ind w:left="540"/>
        <w:jc w:val="both"/>
        <w:rPr>
          <w:rFonts w:ascii="Tahoma" w:hAnsi="Tahoma" w:cs="Tahoma"/>
          <w:sz w:val="20"/>
          <w:szCs w:val="20"/>
          <w:lang w:val="es-PE"/>
        </w:rPr>
      </w:pPr>
      <w:r w:rsidRPr="007241EC">
        <w:rPr>
          <w:rFonts w:ascii="Tahoma" w:hAnsi="Tahoma" w:cs="Tahoma"/>
          <w:sz w:val="20"/>
          <w:szCs w:val="20"/>
          <w:lang w:val="es-PE"/>
        </w:rPr>
        <w:t>En esa medida, la Entidad a través del Carta № 1543-GCPS-ESSALUD-2009 requirió al Contratista que le remitiera el Método de Esterilización que se había utilizado en los lotes №s 01216Ñ8, 01108Ñ8 y 0118Ñ9, los cuales fueron entregados con motivo de su obligación contractual.</w:t>
      </w:r>
    </w:p>
    <w:p w:rsidR="0070531A" w:rsidRPr="007241EC" w:rsidRDefault="0070531A" w:rsidP="0070531A">
      <w:pPr>
        <w:pStyle w:val="Prrafodelista"/>
        <w:rPr>
          <w:rFonts w:ascii="Tahoma" w:hAnsi="Tahoma" w:cs="Tahoma"/>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rPr>
        <w:t>Mediante Carta № 200-SGCSyAP-GA-GCKL-OGA-ESSALUD-2009 de fecha 19 de junio de 2009, diligenciada el mismo día, mes y año, la Entidad otorgó al Contratista el plazo de cinco (5) días calendario para que cumpla con lo estipulado con el Contrato № 4600029328, bajo apercibimiento de proceder a la resolución contractual.</w:t>
      </w:r>
    </w:p>
    <w:p w:rsidR="0070531A" w:rsidRPr="007241EC" w:rsidRDefault="0070531A" w:rsidP="0070531A">
      <w:pPr>
        <w:ind w:left="540"/>
        <w:jc w:val="both"/>
        <w:rPr>
          <w:rFonts w:ascii="Tahoma" w:hAnsi="Tahoma" w:cs="Tahoma"/>
          <w:sz w:val="20"/>
          <w:szCs w:val="20"/>
          <w:lang w:val="es-PE"/>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rPr>
        <w:t>A través de la Carta Notarial № 2295-GCL-OGA-ESSALUD-2009 de fecha 16 de julio de 2009, diligenciada el 17 del mismo mes y año, la Entidad comunicó al Contratista la resolución del vinculo contractual, atendiendo a la Resolución de Gerencia Central de Logística № 1033-GCL-OGA-ESSALUD-2009, la misma que dispuso resolver el Contrato № 4600029328, por causal atribuible a su parte.</w:t>
      </w:r>
    </w:p>
    <w:p w:rsidR="0070531A" w:rsidRPr="007241EC" w:rsidRDefault="0070531A" w:rsidP="0070531A">
      <w:pPr>
        <w:pStyle w:val="Prrafodelista"/>
        <w:rPr>
          <w:rFonts w:ascii="Tahoma" w:hAnsi="Tahoma" w:cs="Tahoma"/>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rPr>
      </w:pPr>
      <w:r w:rsidRPr="007241EC">
        <w:rPr>
          <w:rFonts w:ascii="Tahoma" w:hAnsi="Tahoma" w:cs="Tahoma"/>
          <w:sz w:val="20"/>
          <w:szCs w:val="20"/>
          <w:lang w:val="es-PE"/>
        </w:rPr>
        <w:t xml:space="preserve">El 08 y 10 de febrero de 2011, mediante escritos, la Entidad </w:t>
      </w:r>
      <w:r w:rsidRPr="007241EC">
        <w:rPr>
          <w:rFonts w:ascii="Tahoma" w:hAnsi="Tahoma" w:cs="Tahoma"/>
          <w:sz w:val="20"/>
          <w:szCs w:val="20"/>
        </w:rPr>
        <w:t>puso en conocimiento del Tribunal de Contrataciones del Estado, en lo sucesivo el Tribunal, la supuesta responsabilidad del Contratista por la resolución del Contrato № 4600029328 de fecha 08 de agosto de 2008. Para tal efecto, remitió el Laudo Arbitral Nacional de Derecho de fecha 20 de diciembre de 2010, mediante el cual se declaró, entre otros, que no correspondía declarar la nulidad de la Resolución de Gerencia Central de Logística № 1033-GCL-OGA-ESSALUD-2009.</w:t>
      </w:r>
    </w:p>
    <w:p w:rsidR="0070531A" w:rsidRPr="007241EC" w:rsidRDefault="0070531A" w:rsidP="0070531A">
      <w:pPr>
        <w:ind w:left="540"/>
        <w:jc w:val="both"/>
        <w:rPr>
          <w:rFonts w:ascii="Tahoma" w:hAnsi="Tahoma" w:cs="Tahoma"/>
          <w:sz w:val="20"/>
          <w:szCs w:val="20"/>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rPr>
        <w:t>Con decreto de fecha 16 de febrero de 2011, notificado el 23 de mayo del mismo año, el Tribunal inició el procedimiento administrativo sancionador contra el Contratista por su supuesta responsabilidad en la resolución del Contrato № 4600029328 de fecha 08 de agosto de 2008, derivado de la Licitación Pública № 7-2007-ESSALUD/GCL, primera convocatoria, por causal atribuible a su parte, infracción tipificada en el literal b) del numeral 51.1 del artículo 51 de la Ley en concordancia con el literal b) del numeral 1) del artículo 237 del Reglamento. Asimismo, se le requirió para que en el plazo de diez (10) días hábiles cumpliera con presentar su escrito de descargos.</w:t>
      </w:r>
    </w:p>
    <w:p w:rsidR="0070531A" w:rsidRPr="007241EC" w:rsidRDefault="0070531A" w:rsidP="0070531A">
      <w:pPr>
        <w:pStyle w:val="Prrafodelista"/>
        <w:rPr>
          <w:rFonts w:ascii="Tahoma" w:hAnsi="Tahoma" w:cs="Tahoma"/>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rPr>
        <w:t>Mediante escrito presentado el 08 de junio de 2011, el Contratista presentó su escrito de descargos, en el cual manifestó que estando la solicitud de imposición de sanción administrativa efectuada por la Entidad directamente relacionada con la materia sometida en sede judicial, resulta pertinente suspender el presente procedimiento administrativo sancionador, hasta que se emita la sentencia respectiva, la misma que determinará la validez del Laudo Arbitral de Derecho de fecha 20 de diciembre de 2010.</w:t>
      </w:r>
    </w:p>
    <w:p w:rsidR="0070531A" w:rsidRPr="007241EC" w:rsidRDefault="0070531A" w:rsidP="0070531A">
      <w:pPr>
        <w:pStyle w:val="Prrafodelista"/>
        <w:rPr>
          <w:rFonts w:ascii="Tahoma" w:hAnsi="Tahoma" w:cs="Tahoma"/>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rPr>
        <w:t>Con decreto de fecha 13 de junio de 2011, se tuvo por apersonada al Contratista a la instancia administrativa, y se remitió el expediente a la Primera Sala del Tribunal para que resolviera.</w:t>
      </w:r>
    </w:p>
    <w:p w:rsidR="0070531A" w:rsidRPr="007241EC" w:rsidRDefault="0070531A" w:rsidP="0070531A">
      <w:pPr>
        <w:pStyle w:val="Prrafodelista"/>
        <w:rPr>
          <w:rFonts w:ascii="Tahoma" w:eastAsia="Calibri" w:hAnsi="Tahoma" w:cs="Tahoma"/>
          <w:lang w:val="es-PE" w:eastAsia="en-US"/>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lang w:val="es-PE" w:eastAsia="en-US"/>
        </w:rPr>
        <w:t xml:space="preserve">Mediante decreto de fecha 17 de junio de 2011, se requirió a la Segunda Sala Civil Subespecializada Comercial de la Corte Superior de Justicia de Lima, se sirva </w:t>
      </w:r>
      <w:r w:rsidRPr="007241EC">
        <w:rPr>
          <w:rFonts w:ascii="Tahoma" w:hAnsi="Tahoma" w:cs="Tahoma"/>
          <w:color w:val="000000"/>
          <w:sz w:val="20"/>
          <w:szCs w:val="20"/>
          <w:lang w:val="es-ES_tradnl"/>
        </w:rPr>
        <w:t>informar, de ser posible documentadamente, sobre el estado actual en el que se encontraba el recurso de anulación interpuesto contra el citado Laudo que resolvió las controversias suscitadas respecto del Contrato № 4600029328. Así, también, a efecto de mejor resolver, se solicitó la misma información a la Entidad y el Contratista.</w:t>
      </w:r>
    </w:p>
    <w:p w:rsidR="0070531A" w:rsidRPr="007241EC" w:rsidRDefault="0070531A" w:rsidP="0070531A">
      <w:pPr>
        <w:pStyle w:val="Prrafodelista"/>
        <w:rPr>
          <w:rFonts w:ascii="Tahoma" w:eastAsia="Calibri" w:hAnsi="Tahoma" w:cs="Tahoma"/>
          <w:lang w:val="es-PE" w:eastAsia="en-US"/>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lang w:val="es-PE"/>
        </w:rPr>
        <w:t>A través del escrito presentado el 22 de junio de 2011, la Entidad indicó que a la fecha no habían sido notificados respecto alguna demanda de anulación contra el laudo que resolvió las controversias suscitadas en el Contrato № 4600029328.</w:t>
      </w:r>
    </w:p>
    <w:p w:rsidR="0070531A" w:rsidRPr="007241EC" w:rsidRDefault="0070531A" w:rsidP="0070531A">
      <w:pPr>
        <w:pStyle w:val="Prrafodelista"/>
        <w:rPr>
          <w:rFonts w:ascii="Tahoma" w:hAnsi="Tahoma" w:cs="Tahoma"/>
          <w:lang w:val="es-PE"/>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lang w:val="es-PE"/>
        </w:rPr>
        <w:lastRenderedPageBreak/>
        <w:t xml:space="preserve">Con escrito presentado el 24 de junio de 2011, el Contratista manifestó que el trámite del recurso de anulación del </w:t>
      </w:r>
      <w:r w:rsidRPr="007241EC">
        <w:rPr>
          <w:rFonts w:ascii="Tahoma" w:hAnsi="Tahoma" w:cs="Tahoma"/>
          <w:sz w:val="20"/>
          <w:szCs w:val="20"/>
        </w:rPr>
        <w:t>Laudo Arbitral de Derecho de fecha 20 de diciembre de 2010</w:t>
      </w:r>
      <w:r w:rsidRPr="007241EC">
        <w:rPr>
          <w:rFonts w:ascii="Tahoma" w:hAnsi="Tahoma" w:cs="Tahoma"/>
          <w:sz w:val="20"/>
          <w:szCs w:val="20"/>
          <w:lang w:val="es-PE"/>
        </w:rPr>
        <w:t xml:space="preserve">, se encontraba pendiente de resolverse, y que si bien, aún no había sido admitida la demanda de anulación, toda vez que fue observada, ello no obsta que no pueda ser admitida, más aún si se cumplió dentro del plazo de Ley con subsanar las observaciones realizadas por el Poder Judicial, dicho lo cual, el Contratista indicó que luego de ser admitida la mencionada demanda, la </w:t>
      </w:r>
      <w:r w:rsidRPr="007241EC">
        <w:rPr>
          <w:rFonts w:ascii="Tahoma" w:hAnsi="Tahoma" w:cs="Tahoma"/>
          <w:sz w:val="20"/>
          <w:szCs w:val="20"/>
          <w:lang w:val="es-PE" w:eastAsia="en-US"/>
        </w:rPr>
        <w:t>Segunda Sala Civil Subespecializada Comercial de la Corte Superior de Justicia de Lima declarara nulo el mencionado Laudo por haberse avocado el Tribunal Arbitral a emitir pronunciamiento sobre hechos que no forman parte de la controversia.</w:t>
      </w:r>
    </w:p>
    <w:p w:rsidR="0070531A" w:rsidRPr="007241EC" w:rsidRDefault="0070531A" w:rsidP="0070531A">
      <w:pPr>
        <w:pStyle w:val="Prrafodelista"/>
        <w:rPr>
          <w:rFonts w:ascii="Tahoma" w:hAnsi="Tahoma" w:cs="Tahoma"/>
          <w:lang w:val="es-PE"/>
        </w:rPr>
      </w:pPr>
    </w:p>
    <w:p w:rsidR="0070531A" w:rsidRPr="007241EC" w:rsidRDefault="0070531A" w:rsidP="0070531A">
      <w:pPr>
        <w:numPr>
          <w:ilvl w:val="0"/>
          <w:numId w:val="11"/>
        </w:numPr>
        <w:tabs>
          <w:tab w:val="clear" w:pos="596"/>
          <w:tab w:val="num" w:pos="540"/>
        </w:tabs>
        <w:ind w:left="540" w:hanging="540"/>
        <w:jc w:val="both"/>
        <w:rPr>
          <w:rFonts w:ascii="Tahoma" w:hAnsi="Tahoma" w:cs="Tahoma"/>
          <w:sz w:val="20"/>
          <w:szCs w:val="20"/>
          <w:lang w:val="es-PE"/>
        </w:rPr>
      </w:pPr>
      <w:r w:rsidRPr="007241EC">
        <w:rPr>
          <w:rFonts w:ascii="Tahoma" w:hAnsi="Tahoma" w:cs="Tahoma"/>
          <w:sz w:val="20"/>
          <w:szCs w:val="20"/>
          <w:lang w:val="es-PE"/>
        </w:rPr>
        <w:t xml:space="preserve">A través del escrito presentado el 27 de junio de 2011, el Contratista remitió la Resolución № Dos de fecha 01 de junio de 2011, mediante el cual la </w:t>
      </w:r>
      <w:r w:rsidRPr="007241EC">
        <w:rPr>
          <w:rFonts w:ascii="Tahoma" w:hAnsi="Tahoma" w:cs="Tahoma"/>
          <w:sz w:val="20"/>
          <w:szCs w:val="20"/>
          <w:lang w:val="es-PE" w:eastAsia="en-US"/>
        </w:rPr>
        <w:t xml:space="preserve">Segunda Sala Civil Subespecializada Comercial de la Corte Superior de Justicia de Lima admitió a trámite el recurso de anulación del </w:t>
      </w:r>
      <w:r w:rsidRPr="007241EC">
        <w:rPr>
          <w:rFonts w:ascii="Tahoma" w:hAnsi="Tahoma" w:cs="Tahoma"/>
          <w:sz w:val="20"/>
          <w:szCs w:val="20"/>
        </w:rPr>
        <w:t>Laudo Arbitral de Derecho de fecha 20 de diciembre de 2010.</w:t>
      </w:r>
    </w:p>
    <w:p w:rsidR="006E5571" w:rsidRPr="007241EC" w:rsidRDefault="006E5571" w:rsidP="00E13E6B">
      <w:pPr>
        <w:pStyle w:val="Textoindependiente"/>
        <w:tabs>
          <w:tab w:val="left" w:pos="-2340"/>
          <w:tab w:val="left" w:pos="540"/>
        </w:tabs>
        <w:spacing w:after="0"/>
        <w:ind w:left="180" w:hanging="180"/>
        <w:jc w:val="both"/>
        <w:rPr>
          <w:rFonts w:ascii="Tahoma" w:hAnsi="Tahoma" w:cs="Tahoma"/>
          <w:b/>
          <w:sz w:val="20"/>
          <w:szCs w:val="20"/>
          <w:lang w:val="es-PE"/>
        </w:rPr>
      </w:pPr>
    </w:p>
    <w:p w:rsidR="00E13E6B" w:rsidRPr="007241EC"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7241EC">
        <w:rPr>
          <w:rFonts w:ascii="Tahoma" w:hAnsi="Tahoma" w:cs="Tahoma"/>
          <w:b/>
          <w:sz w:val="20"/>
          <w:szCs w:val="20"/>
        </w:rPr>
        <w:tab/>
      </w:r>
      <w:r w:rsidRPr="007241EC">
        <w:rPr>
          <w:rFonts w:ascii="Tahoma" w:hAnsi="Tahoma" w:cs="Tahoma"/>
          <w:b/>
          <w:sz w:val="20"/>
          <w:szCs w:val="20"/>
        </w:rPr>
        <w:tab/>
        <w:t>FUNDAMENTACIÓN:</w:t>
      </w:r>
    </w:p>
    <w:p w:rsidR="00E13E6B" w:rsidRPr="007241EC" w:rsidRDefault="00E13E6B" w:rsidP="00E13E6B">
      <w:pPr>
        <w:pStyle w:val="Sangradetextonormal"/>
        <w:spacing w:after="0"/>
        <w:ind w:left="0"/>
        <w:jc w:val="both"/>
        <w:rPr>
          <w:rFonts w:ascii="Tahoma" w:hAnsi="Tahoma" w:cs="Tahoma"/>
          <w:sz w:val="20"/>
          <w:szCs w:val="20"/>
        </w:rPr>
      </w:pPr>
    </w:p>
    <w:p w:rsidR="0070531A" w:rsidRPr="007241EC" w:rsidRDefault="0070531A" w:rsidP="0070531A">
      <w:pPr>
        <w:pStyle w:val="Prrafodelista"/>
        <w:numPr>
          <w:ilvl w:val="0"/>
          <w:numId w:val="4"/>
        </w:numPr>
        <w:ind w:left="567" w:hanging="567"/>
        <w:jc w:val="both"/>
        <w:rPr>
          <w:rFonts w:ascii="Tahoma" w:hAnsi="Tahoma" w:cs="Tahoma"/>
        </w:rPr>
      </w:pPr>
      <w:r w:rsidRPr="007241EC">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70531A" w:rsidRPr="007241EC" w:rsidRDefault="0070531A" w:rsidP="0070531A">
      <w:pPr>
        <w:pStyle w:val="Prrafodelista"/>
        <w:ind w:left="567"/>
        <w:rPr>
          <w:rFonts w:ascii="Tahoma" w:hAnsi="Tahoma" w:cs="Tahoma"/>
        </w:rPr>
      </w:pPr>
    </w:p>
    <w:p w:rsidR="0070531A" w:rsidRPr="007241EC" w:rsidRDefault="0070531A" w:rsidP="0070531A">
      <w:pPr>
        <w:pStyle w:val="Prrafodelista"/>
        <w:numPr>
          <w:ilvl w:val="0"/>
          <w:numId w:val="4"/>
        </w:numPr>
        <w:ind w:left="567" w:hanging="567"/>
        <w:jc w:val="both"/>
        <w:rPr>
          <w:rFonts w:ascii="Tahoma" w:hAnsi="Tahoma" w:cs="Tahoma"/>
        </w:rPr>
      </w:pPr>
      <w:r w:rsidRPr="007241EC">
        <w:rPr>
          <w:rFonts w:ascii="Tahoma" w:hAnsi="Tahoma" w:cs="Tahoma"/>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7241EC">
        <w:rPr>
          <w:rFonts w:ascii="Tahoma" w:hAnsi="Tahoma" w:cs="Tahoma"/>
          <w:lang w:val="es-MX"/>
        </w:rPr>
        <w:t>51 y 52 de la Ley de Contrataciones del Estado,</w:t>
      </w:r>
      <w:r w:rsidRPr="007241EC">
        <w:rPr>
          <w:rFonts w:ascii="Tahoma" w:hAnsi="Tahoma" w:cs="Tahoma"/>
        </w:rPr>
        <w:t xml:space="preserve"> aprobada mediante Decreto Legislativo № 1017,</w:t>
      </w:r>
      <w:r w:rsidRPr="007241EC">
        <w:rPr>
          <w:rFonts w:ascii="Tahoma" w:hAnsi="Tahoma" w:cs="Tahoma"/>
          <w:lang w:val="es-MX"/>
        </w:rPr>
        <w:t xml:space="preserve"> y en los casos expresamente previstos en el artículo 237 de su Reglamento, aprobado mediante Decreto Supremo </w:t>
      </w:r>
      <w:r w:rsidRPr="007241EC">
        <w:rPr>
          <w:rFonts w:ascii="Tahoma" w:hAnsi="Tahoma" w:cs="Tahoma"/>
        </w:rPr>
        <w:t>№ 184-2008-EF, normas aplicables al momento de la presunta comisión de la infracción;</w:t>
      </w:r>
      <w:r w:rsidRPr="007241EC">
        <w:rPr>
          <w:rFonts w:ascii="Tahoma" w:hAnsi="Tahoma" w:cs="Tahoma"/>
          <w:lang w:val="es-MX"/>
        </w:rPr>
        <w:t xml:space="preserve"> sin perjuicio de las acciones legales que correspondan adoptar a la Entidades, dentro de sus respectivas atribuciones, en salvaguarda de sus intereses</w:t>
      </w:r>
      <w:r w:rsidRPr="007241EC">
        <w:rPr>
          <w:rFonts w:ascii="Tahoma" w:hAnsi="Tahoma" w:cs="Tahoma"/>
        </w:rPr>
        <w:t>.</w:t>
      </w:r>
    </w:p>
    <w:p w:rsidR="0070531A" w:rsidRPr="007241EC" w:rsidRDefault="0070531A" w:rsidP="0070531A">
      <w:pPr>
        <w:pStyle w:val="Prrafodelista"/>
        <w:rPr>
          <w:rFonts w:ascii="Tahoma" w:hAnsi="Tahoma" w:cs="Tahoma"/>
        </w:rPr>
      </w:pPr>
    </w:p>
    <w:p w:rsidR="0070531A" w:rsidRPr="007241EC" w:rsidRDefault="0070531A" w:rsidP="0070531A">
      <w:pPr>
        <w:pStyle w:val="Prrafodelista"/>
        <w:numPr>
          <w:ilvl w:val="0"/>
          <w:numId w:val="4"/>
        </w:numPr>
        <w:ind w:left="567" w:hanging="567"/>
        <w:jc w:val="both"/>
        <w:rPr>
          <w:rFonts w:ascii="Tahoma" w:hAnsi="Tahoma" w:cs="Tahoma"/>
        </w:rPr>
      </w:pPr>
      <w:r w:rsidRPr="007241EC">
        <w:rPr>
          <w:rFonts w:ascii="Tahoma" w:hAnsi="Tahoma" w:cs="Tahoma"/>
        </w:rPr>
        <w:t>El presente caso está referido a la supuesta responsabilidad del Contratista por el incumplimiento injustificado de las obligaciones del Contrato № 4600029328 de fecha 08 de agosto de 2008, derivado de la Licitación Pública № 7-2007-ESSALUD/GCL, primera convocatoria, supuesto de hecho del tipo legal previsto en el literal b) del numeral 51.1 del artículo 51 de la Ley</w:t>
      </w:r>
      <w:r w:rsidRPr="007241EC">
        <w:rPr>
          <w:rStyle w:val="Refdenotaalpie"/>
          <w:rFonts w:ascii="Tahoma" w:eastAsia="Calibri" w:hAnsi="Tahoma" w:cs="Tahoma"/>
        </w:rPr>
        <w:footnoteReference w:id="3"/>
      </w:r>
      <w:r w:rsidRPr="007241EC">
        <w:rPr>
          <w:rFonts w:ascii="Tahoma" w:hAnsi="Tahoma" w:cs="Tahoma"/>
        </w:rPr>
        <w:t xml:space="preserve"> en concordancia con el literal b) del numeral 1) del artículo 237 del Reglamento</w:t>
      </w:r>
      <w:r w:rsidRPr="007241EC">
        <w:rPr>
          <w:rStyle w:val="Refdenotaalpie"/>
          <w:rFonts w:ascii="Tahoma" w:eastAsia="Calibri" w:hAnsi="Tahoma" w:cs="Tahoma"/>
        </w:rPr>
        <w:footnoteReference w:id="4"/>
      </w:r>
      <w:r w:rsidRPr="007241EC">
        <w:rPr>
          <w:rFonts w:ascii="Tahoma" w:hAnsi="Tahoma" w:cs="Tahoma"/>
        </w:rPr>
        <w:t>, normas vigentes al momento de suscitado el hecho imputado.</w:t>
      </w:r>
    </w:p>
    <w:p w:rsidR="0070531A" w:rsidRPr="007241EC" w:rsidRDefault="0070531A" w:rsidP="0070531A">
      <w:pPr>
        <w:pStyle w:val="Prrafodelista"/>
        <w:rPr>
          <w:rFonts w:ascii="Tahoma" w:hAnsi="Tahoma" w:cs="Tahoma"/>
        </w:rPr>
      </w:pPr>
    </w:p>
    <w:p w:rsidR="0070531A" w:rsidRPr="007241EC" w:rsidRDefault="0070531A" w:rsidP="0070531A">
      <w:pPr>
        <w:pStyle w:val="Prrafodelista"/>
        <w:numPr>
          <w:ilvl w:val="0"/>
          <w:numId w:val="4"/>
        </w:numPr>
        <w:ind w:left="567" w:hanging="567"/>
        <w:jc w:val="both"/>
        <w:rPr>
          <w:rFonts w:ascii="Tahoma" w:hAnsi="Tahoma" w:cs="Tahoma"/>
        </w:rPr>
      </w:pPr>
      <w:r w:rsidRPr="007241EC">
        <w:rPr>
          <w:rFonts w:ascii="Tahoma" w:hAnsi="Tahoma" w:cs="Tahoma"/>
        </w:rPr>
        <w:lastRenderedPageBreak/>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p>
    <w:p w:rsidR="0070531A" w:rsidRPr="007241EC" w:rsidRDefault="0070531A" w:rsidP="0070531A">
      <w:pPr>
        <w:pStyle w:val="Prrafodelista"/>
        <w:ind w:left="567"/>
        <w:rPr>
          <w:rFonts w:ascii="Tahoma" w:hAnsi="Tahoma" w:cs="Tahoma"/>
        </w:rPr>
      </w:pPr>
    </w:p>
    <w:p w:rsidR="0070531A" w:rsidRPr="007241EC" w:rsidRDefault="0070531A" w:rsidP="0070531A">
      <w:pPr>
        <w:pStyle w:val="Prrafodelista"/>
        <w:numPr>
          <w:ilvl w:val="0"/>
          <w:numId w:val="4"/>
        </w:numPr>
        <w:ind w:left="567" w:hanging="567"/>
        <w:jc w:val="both"/>
        <w:rPr>
          <w:rFonts w:ascii="Tahoma" w:hAnsi="Tahoma" w:cs="Tahoma"/>
        </w:rPr>
      </w:pPr>
      <w:r w:rsidRPr="007241EC">
        <w:rPr>
          <w:rFonts w:ascii="Tahoma" w:hAnsi="Tahoma" w:cs="Tahoma"/>
        </w:rPr>
        <w:t>Ahora, si bien la supuesta infracción fue cometida al momento en que se encontraba vigente el Decreto Supremo № 184-2008-EF, para verificar si la resolución del contrato se llevó a cabo válidamente, debe tenerse en cuenta la normativa vigente a la fecha de la convocatoria del proceso de selección del cual deriva la denuncia materia de análisis, debido a que el Contratista sometió su actuación a la normativa vigente en dicho periodo; en ese sentido, teniendo en cuenta que la Licitación Pública № 7-2007-ESSALUD/GCL fue convocada el 15 de junio de 2007, fecha en la cual aún se encontraba vigente el Texto Único Ordenado de la Ley de Contrataciones y Adquisiciones de Estado, aprobado mediante Decreto Supremo № 083-2004-PCM; y su Reglamento, aprobado por el Decreto Supremo Nº 084-2004-PCM; en tal sentido, debe colegirse que para el análisis de la validez del procedimiento de resolución contractual se aplicará dicha normativa.</w:t>
      </w:r>
    </w:p>
    <w:p w:rsidR="0070531A" w:rsidRPr="007241EC" w:rsidRDefault="0070531A" w:rsidP="0070531A">
      <w:pPr>
        <w:pStyle w:val="Prrafodelista"/>
        <w:rPr>
          <w:rFonts w:ascii="Tahoma" w:hAnsi="Tahoma" w:cs="Tahoma"/>
        </w:rPr>
      </w:pPr>
    </w:p>
    <w:p w:rsidR="0070531A" w:rsidRPr="007241EC" w:rsidRDefault="0070531A" w:rsidP="0070531A">
      <w:pPr>
        <w:pStyle w:val="Prrafodelista"/>
        <w:numPr>
          <w:ilvl w:val="0"/>
          <w:numId w:val="4"/>
        </w:numPr>
        <w:ind w:left="567" w:hanging="567"/>
        <w:jc w:val="both"/>
        <w:rPr>
          <w:rFonts w:ascii="Tahoma" w:hAnsi="Tahoma" w:cs="Tahoma"/>
        </w:rPr>
      </w:pPr>
      <w:r w:rsidRPr="007241EC">
        <w:rPr>
          <w:rFonts w:ascii="Tahoma" w:hAnsi="Tahoma" w:cs="Tahoma"/>
        </w:rPr>
        <w:t xml:space="preserve">Al respecto, el inciso c) del artículo 41 del Texto Único Ordenado de la Ley de Contrataciones y Adquisiciones de Estado, así como el numeral 1) del artículo 225 de su Reglamento, dispone que la Entidad podrá resolver el contrato, si es que el contratista incumple injustificadamente sus obligaciones contractuales, legales o reglamentarias, pese a haber sido requerido para ello. En ese sentido, se debe tener presente que, para la configuración del supuesto de hecho de la norma que contiene la infracción imputada en el literal b) del numeral 51.1 del artículo 51 de la Ley, se requiere previamente acreditar que el contrato haya sido resuelto por causa atribuible al contratista, y que la Entidad haya observado la formalidad del procedimiento de resolución de contrato prevista en el artículo 226 del Reglamento. </w:t>
      </w:r>
    </w:p>
    <w:p w:rsidR="0070531A" w:rsidRPr="007241EC" w:rsidRDefault="0070531A" w:rsidP="0070531A">
      <w:pPr>
        <w:pStyle w:val="Prrafodelista"/>
        <w:rPr>
          <w:rFonts w:ascii="Tahoma" w:hAnsi="Tahoma" w:cs="Tahoma"/>
        </w:rPr>
      </w:pPr>
    </w:p>
    <w:p w:rsidR="0070531A" w:rsidRPr="007241EC" w:rsidRDefault="0070531A" w:rsidP="0070531A">
      <w:pPr>
        <w:pStyle w:val="Prrafodelista"/>
        <w:numPr>
          <w:ilvl w:val="0"/>
          <w:numId w:val="4"/>
        </w:numPr>
        <w:ind w:left="567" w:hanging="567"/>
        <w:jc w:val="both"/>
        <w:rPr>
          <w:rFonts w:ascii="Tahoma" w:hAnsi="Tahoma" w:cs="Tahoma"/>
        </w:rPr>
      </w:pPr>
      <w:r w:rsidRPr="007241EC">
        <w:rPr>
          <w:rFonts w:ascii="Tahoma" w:hAnsi="Tahoma" w:cs="Tahoma"/>
        </w:rPr>
        <w:t>Sobre el particular, el artículo 226 del Reglamento prevé según el cual en caso de incumplimiento contractual de una de las partes involucradas, la parte que resulte perjudicada con tal hecho requerirá a la otra notarialmente para que satisfaga sus obligaciones en un plazo no mayor de cinco (5) días, bajo apercibimiento de resolver el contrato. Dependiendo del monto involucrado y de la complejidad, envergadura o sofisticación de la adquisición o contratación, la Entidad podrá establecer plazos mayores, los cuales no superarán en ningún caso mayor los quince (15) días, plazo este último que se otorgará necesariamente en el caso de obras. De continuar el incumplimiento contractual, la citada disposición reglamentaria precisa que la parte perjudicada comunicará notarialmente la resolución total o parcial del contrato.</w:t>
      </w:r>
    </w:p>
    <w:p w:rsidR="0070531A" w:rsidRPr="007241EC" w:rsidRDefault="0070531A" w:rsidP="0070531A">
      <w:pPr>
        <w:pStyle w:val="Prrafodelista"/>
        <w:rPr>
          <w:rFonts w:ascii="Tahoma" w:hAnsi="Tahoma" w:cs="Tahoma"/>
        </w:rPr>
      </w:pPr>
    </w:p>
    <w:p w:rsidR="0070531A" w:rsidRPr="007241EC" w:rsidRDefault="0070531A" w:rsidP="0070531A">
      <w:pPr>
        <w:pStyle w:val="Prrafodelista"/>
        <w:numPr>
          <w:ilvl w:val="0"/>
          <w:numId w:val="4"/>
        </w:numPr>
        <w:ind w:left="567" w:hanging="567"/>
        <w:jc w:val="both"/>
        <w:rPr>
          <w:rFonts w:ascii="Tahoma" w:hAnsi="Tahoma" w:cs="Tahoma"/>
        </w:rPr>
      </w:pPr>
      <w:r w:rsidRPr="007241EC">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70531A" w:rsidRPr="007241EC" w:rsidRDefault="0070531A" w:rsidP="0070531A">
      <w:pPr>
        <w:pStyle w:val="Prrafodelista"/>
        <w:rPr>
          <w:rFonts w:ascii="Tahoma" w:hAnsi="Tahoma" w:cs="Tahoma"/>
        </w:rPr>
      </w:pPr>
    </w:p>
    <w:p w:rsidR="0070531A" w:rsidRPr="007241EC" w:rsidRDefault="0070531A" w:rsidP="0070531A">
      <w:pPr>
        <w:pStyle w:val="Prrafodelista"/>
        <w:numPr>
          <w:ilvl w:val="0"/>
          <w:numId w:val="4"/>
        </w:numPr>
        <w:ind w:left="567" w:hanging="567"/>
        <w:jc w:val="both"/>
        <w:rPr>
          <w:rFonts w:ascii="Tahoma" w:hAnsi="Tahoma" w:cs="Tahoma"/>
        </w:rPr>
      </w:pPr>
      <w:r w:rsidRPr="007241EC">
        <w:rPr>
          <w:rFonts w:ascii="Tahoma" w:hAnsi="Tahoma" w:cs="Tahoma"/>
        </w:rPr>
        <w:lastRenderedPageBreak/>
        <w:t>Este criterio, además, ha sido recogido en el Acuerdo de Sala Plena № 018/010 del 4 de setiembre de 2002</w:t>
      </w:r>
      <w:r w:rsidRPr="007241EC">
        <w:rPr>
          <w:rStyle w:val="Refdenotaalpie"/>
          <w:rFonts w:ascii="Tahoma" w:eastAsia="Calibri" w:hAnsi="Tahoma" w:cs="Tahoma"/>
        </w:rPr>
        <w:footnoteReference w:id="5"/>
      </w:r>
      <w:r w:rsidRPr="007241EC">
        <w:rPr>
          <w:rFonts w:ascii="Tahoma" w:hAnsi="Tahoma" w:cs="Tahoma"/>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 la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70531A" w:rsidRPr="007241EC" w:rsidRDefault="0070531A" w:rsidP="0070531A">
      <w:pPr>
        <w:pStyle w:val="Prrafodelista"/>
        <w:rPr>
          <w:rFonts w:ascii="Tahoma" w:hAnsi="Tahoma" w:cs="Tahoma"/>
        </w:rPr>
      </w:pPr>
    </w:p>
    <w:p w:rsidR="0070531A" w:rsidRPr="007241EC" w:rsidRDefault="0070531A" w:rsidP="0070531A">
      <w:pPr>
        <w:pStyle w:val="Prrafodelista"/>
        <w:numPr>
          <w:ilvl w:val="0"/>
          <w:numId w:val="4"/>
        </w:numPr>
        <w:ind w:left="567" w:hanging="567"/>
        <w:jc w:val="both"/>
        <w:rPr>
          <w:rFonts w:ascii="Tahoma" w:hAnsi="Tahoma" w:cs="Tahoma"/>
        </w:rPr>
      </w:pPr>
      <w:r w:rsidRPr="007241EC">
        <w:rPr>
          <w:rFonts w:ascii="Tahoma" w:hAnsi="Tahoma" w:cs="Tahoma"/>
        </w:rPr>
        <w:t>Sobre el particular, de la documentación obrante en autos, se observa que la Entidad remitió al Contratista, vía conducto notarial, dos (2) comunicaciones:</w:t>
      </w:r>
    </w:p>
    <w:p w:rsidR="0070531A" w:rsidRPr="007241EC" w:rsidRDefault="0070531A" w:rsidP="0070531A">
      <w:pPr>
        <w:pStyle w:val="Prrafodelista"/>
        <w:ind w:left="0"/>
        <w:rPr>
          <w:rFonts w:ascii="Tahoma" w:hAnsi="Tahoma" w:cs="Tahoma"/>
        </w:rPr>
      </w:pPr>
    </w:p>
    <w:p w:rsidR="0070531A" w:rsidRPr="007241EC" w:rsidRDefault="0070531A" w:rsidP="0070531A">
      <w:pPr>
        <w:numPr>
          <w:ilvl w:val="0"/>
          <w:numId w:val="33"/>
        </w:numPr>
        <w:ind w:left="1276" w:hanging="567"/>
        <w:jc w:val="both"/>
        <w:rPr>
          <w:rFonts w:ascii="Tahoma" w:hAnsi="Tahoma" w:cs="Tahoma"/>
          <w:sz w:val="20"/>
          <w:szCs w:val="20"/>
        </w:rPr>
      </w:pPr>
      <w:r w:rsidRPr="007241EC">
        <w:rPr>
          <w:rFonts w:ascii="Tahoma" w:hAnsi="Tahoma" w:cs="Tahoma"/>
          <w:sz w:val="20"/>
          <w:szCs w:val="20"/>
        </w:rPr>
        <w:t>Mediante Carta № 200-SGCSyAP-GA-GCKL-OGA-ESSALUD-2009 de fecha 19 de junio de 2009, diligenciada el mismo día, mes y año, la Entidad otorgó al Contratista el plazo de cinco (5) días calendario para que cumpla con lo estipulado con el Contrato № 4600029328, bajo apercibimiento de proceder a la resolución contractual.</w:t>
      </w:r>
    </w:p>
    <w:p w:rsidR="0070531A" w:rsidRPr="007241EC" w:rsidRDefault="0070531A" w:rsidP="0070531A">
      <w:pPr>
        <w:ind w:left="1276"/>
        <w:jc w:val="both"/>
        <w:rPr>
          <w:rFonts w:ascii="Tahoma" w:hAnsi="Tahoma" w:cs="Tahoma"/>
          <w:sz w:val="20"/>
          <w:szCs w:val="20"/>
        </w:rPr>
      </w:pPr>
    </w:p>
    <w:p w:rsidR="0070531A" w:rsidRPr="007241EC" w:rsidRDefault="0070531A" w:rsidP="0070531A">
      <w:pPr>
        <w:numPr>
          <w:ilvl w:val="0"/>
          <w:numId w:val="33"/>
        </w:numPr>
        <w:ind w:left="1276" w:hanging="567"/>
        <w:jc w:val="both"/>
        <w:rPr>
          <w:rFonts w:ascii="Tahoma" w:hAnsi="Tahoma" w:cs="Tahoma"/>
          <w:sz w:val="20"/>
          <w:szCs w:val="20"/>
        </w:rPr>
      </w:pPr>
      <w:r w:rsidRPr="007241EC">
        <w:rPr>
          <w:rFonts w:ascii="Tahoma" w:hAnsi="Tahoma" w:cs="Tahoma"/>
          <w:sz w:val="20"/>
          <w:szCs w:val="20"/>
        </w:rPr>
        <w:t>Asimismo, y al persistir el incumplimiento, a través de la Carta Notarial № 2295-GCL-OGA-ESSALUD-2009 de fecha 16 de julio de 2009, diligenciada el 17 del mismo mes y año, la Entidad comunicó al Contratista la resolución del vinculo contractual, atendiendo a la Resolución de Gerencia Central de Logística № 1033-GCL-OGA-ESSALUD-2009, la misma que dispuso resolver el Contrato № 4600029328, por causal atribuible a su parte.</w:t>
      </w:r>
    </w:p>
    <w:p w:rsidR="0070531A" w:rsidRPr="007241EC" w:rsidRDefault="0070531A" w:rsidP="0070531A">
      <w:pPr>
        <w:ind w:left="1276"/>
        <w:jc w:val="both"/>
        <w:rPr>
          <w:rFonts w:ascii="Tahoma" w:hAnsi="Tahoma" w:cs="Tahoma"/>
          <w:sz w:val="20"/>
          <w:szCs w:val="20"/>
        </w:rPr>
      </w:pPr>
    </w:p>
    <w:p w:rsidR="0070531A" w:rsidRPr="007241EC" w:rsidRDefault="0070531A" w:rsidP="0070531A">
      <w:pPr>
        <w:pStyle w:val="Prrafodelista"/>
        <w:numPr>
          <w:ilvl w:val="0"/>
          <w:numId w:val="4"/>
        </w:numPr>
        <w:ind w:left="567" w:hanging="567"/>
        <w:jc w:val="both"/>
        <w:rPr>
          <w:rFonts w:ascii="Tahoma" w:hAnsi="Tahoma" w:cs="Tahoma"/>
        </w:rPr>
      </w:pPr>
      <w:r w:rsidRPr="007241EC">
        <w:rPr>
          <w:rFonts w:ascii="Tahoma" w:hAnsi="Tahoma" w:cs="Tahoma"/>
        </w:rPr>
        <w:t>En tal sentido, se verifica que la Entidad ha observado la formalidad de comunicar dos cartas notariales para la resolución del contrato, siendo la primera carta notarial de requerimiento al Contratista</w:t>
      </w:r>
      <w:r w:rsidRPr="007241EC">
        <w:rPr>
          <w:rFonts w:ascii="Tahoma" w:hAnsi="Tahoma" w:cs="Tahoma"/>
          <w:bCs/>
        </w:rPr>
        <w:t xml:space="preserve"> p</w:t>
      </w:r>
      <w:r w:rsidRPr="007241EC">
        <w:rPr>
          <w:rFonts w:ascii="Tahoma" w:hAnsi="Tahoma" w:cs="Tahoma"/>
        </w:rPr>
        <w:t>ara el cumplimiento de sus obligaciones y la segunda carta notarial de resolución del contrato.</w:t>
      </w:r>
    </w:p>
    <w:p w:rsidR="0070531A" w:rsidRPr="007241EC" w:rsidRDefault="0070531A" w:rsidP="0070531A">
      <w:pPr>
        <w:pStyle w:val="Prrafodelista"/>
        <w:rPr>
          <w:rFonts w:ascii="Tahoma" w:hAnsi="Tahoma" w:cs="Tahoma"/>
          <w:b/>
        </w:rPr>
      </w:pPr>
    </w:p>
    <w:p w:rsidR="0070531A" w:rsidRPr="007241EC" w:rsidRDefault="0070531A" w:rsidP="0070531A">
      <w:pPr>
        <w:pStyle w:val="Prrafodelista"/>
        <w:ind w:left="567"/>
        <w:rPr>
          <w:rFonts w:ascii="Tahoma" w:hAnsi="Tahoma" w:cs="Tahoma"/>
          <w:b/>
        </w:rPr>
      </w:pPr>
      <w:r w:rsidRPr="007241EC">
        <w:rPr>
          <w:rFonts w:ascii="Tahoma" w:hAnsi="Tahoma" w:cs="Tahoma"/>
          <w:b/>
        </w:rPr>
        <w:t>Sobre la suspensión del procedimiento</w:t>
      </w:r>
    </w:p>
    <w:p w:rsidR="0070531A" w:rsidRPr="007241EC" w:rsidRDefault="0070531A" w:rsidP="0070531A">
      <w:pPr>
        <w:pStyle w:val="Prrafodelista"/>
        <w:ind w:left="567"/>
        <w:rPr>
          <w:rFonts w:ascii="Tahoma" w:hAnsi="Tahoma" w:cs="Tahoma"/>
          <w:b/>
        </w:rPr>
      </w:pPr>
    </w:p>
    <w:p w:rsidR="0070531A" w:rsidRPr="007241EC" w:rsidRDefault="0070531A" w:rsidP="0070531A">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7241EC">
        <w:rPr>
          <w:rFonts w:ascii="Tahoma" w:hAnsi="Tahoma" w:cs="Tahoma"/>
          <w:sz w:val="20"/>
          <w:szCs w:val="20"/>
        </w:rPr>
        <w:t>Así, también, cabe recalcar que de acuerdo a lo establecido por la norma aplicable, las controversias que surjan entre las partes sobre la ejecución, interpretación, resolución, inexistencia, ineficacia o invalidez del contrato se resolverán mediante conciliación y/o arbitraje, según el acuerdo de las partes, siendo que la parte que se tiene por afectada, tiene el derecho de solicitar su inicio</w:t>
      </w:r>
      <w:r w:rsidRPr="007241EC">
        <w:rPr>
          <w:rStyle w:val="Refdenotaalpie"/>
          <w:rFonts w:ascii="Tahoma" w:eastAsia="Calibri" w:hAnsi="Tahoma" w:cs="Tahoma"/>
          <w:sz w:val="20"/>
          <w:szCs w:val="20"/>
        </w:rPr>
        <w:footnoteReference w:id="6"/>
      </w:r>
      <w:r w:rsidRPr="007241EC">
        <w:rPr>
          <w:rFonts w:ascii="Tahoma" w:hAnsi="Tahoma" w:cs="Tahoma"/>
          <w:sz w:val="20"/>
          <w:szCs w:val="20"/>
        </w:rPr>
        <w:t xml:space="preserve">.  </w:t>
      </w:r>
    </w:p>
    <w:p w:rsidR="0070531A" w:rsidRPr="007241EC" w:rsidRDefault="0070531A" w:rsidP="0070531A">
      <w:pPr>
        <w:pStyle w:val="Prrafodelista"/>
        <w:rPr>
          <w:rFonts w:ascii="Tahoma" w:hAnsi="Tahoma" w:cs="Tahoma"/>
        </w:rPr>
      </w:pPr>
    </w:p>
    <w:p w:rsidR="00964F60" w:rsidRPr="007241EC" w:rsidRDefault="0070531A" w:rsidP="00964F60">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7241EC">
        <w:rPr>
          <w:rFonts w:ascii="Tahoma" w:hAnsi="Tahoma" w:cs="Tahoma"/>
          <w:sz w:val="20"/>
          <w:szCs w:val="20"/>
        </w:rPr>
        <w:t>En esa medida, fluye de los actuados que la controversia generada a raíz de la resolución del Contrato № 4600029328 fue sometida en su momento y a petición del Contratista, en virtud de lo dispuesto en su Cláusula Vigésima Octava del citado contrato, a un proceso arbitral, a fin que se declare, entre otros petitorios, la nulidad de la Resolución de Gerencia Central de Logística № 1033-GCL-OGA-ESSALUD-2009</w:t>
      </w:r>
      <w:r w:rsidRPr="007241EC">
        <w:rPr>
          <w:rFonts w:ascii="Tahoma" w:hAnsi="Tahoma" w:cs="Tahoma"/>
          <w:sz w:val="20"/>
          <w:szCs w:val="20"/>
          <w:lang w:val="es-PE"/>
        </w:rPr>
        <w:t xml:space="preserve">, en la cual se declaró resolver el Contrato </w:t>
      </w:r>
      <w:r w:rsidRPr="007241EC">
        <w:rPr>
          <w:rFonts w:ascii="Tahoma" w:hAnsi="Tahoma" w:cs="Tahoma"/>
          <w:sz w:val="20"/>
          <w:szCs w:val="20"/>
        </w:rPr>
        <w:t>№ 4600029328 de fecha 08 de agosto de 2008</w:t>
      </w:r>
      <w:r w:rsidRPr="007241EC">
        <w:rPr>
          <w:rFonts w:ascii="Tahoma" w:hAnsi="Tahoma" w:cs="Tahoma"/>
          <w:sz w:val="20"/>
          <w:szCs w:val="20"/>
          <w:lang w:val="es-PE"/>
        </w:rPr>
        <w:t>.</w:t>
      </w:r>
    </w:p>
    <w:p w:rsidR="00964F60" w:rsidRPr="007241EC" w:rsidRDefault="00964F60" w:rsidP="00964F60">
      <w:pPr>
        <w:pStyle w:val="Prrafodelista"/>
        <w:rPr>
          <w:rFonts w:ascii="Tahoma" w:hAnsi="Tahoma" w:cs="Tahoma"/>
        </w:rPr>
      </w:pPr>
    </w:p>
    <w:p w:rsidR="00964F60" w:rsidRPr="007241EC" w:rsidRDefault="0070531A" w:rsidP="00964F60">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7241EC">
        <w:rPr>
          <w:rFonts w:ascii="Tahoma" w:hAnsi="Tahoma" w:cs="Tahoma"/>
          <w:sz w:val="20"/>
          <w:szCs w:val="20"/>
        </w:rPr>
        <w:t xml:space="preserve">En tal sentido, y con ocasión a la denuncia formulada contra el Contratista, la Entidad remitió el Laudo Arbitral Nacional de Derecho de fecha 20 de diciembre de 2010, por medio del cual el Tribunal Arbitral encargado de resolver la aludida controversia determinó, respecto de la primera pretensión planteada por el Contratista referido a nulidad de la Resolución de Gerencia Central de Logística № 1033-GCL-OGA-ESSALUD-2009 de fecha 16 de julio de 2009 que </w:t>
      </w:r>
      <w:r w:rsidRPr="007241EC">
        <w:rPr>
          <w:rFonts w:ascii="Tahoma" w:hAnsi="Tahoma" w:cs="Tahoma"/>
          <w:i/>
          <w:sz w:val="20"/>
          <w:szCs w:val="20"/>
        </w:rPr>
        <w:t>«no corresponde declarar la nulidad de la Resolución de Gerencia Central de Logística № 1033-GCL-OGA-ESSALUD-2009, que resuelve el Contrato № 4600029328».</w:t>
      </w:r>
      <w:r w:rsidRPr="007241EC">
        <w:rPr>
          <w:rFonts w:ascii="Tahoma" w:hAnsi="Tahoma" w:cs="Tahoma"/>
          <w:sz w:val="20"/>
          <w:szCs w:val="20"/>
        </w:rPr>
        <w:t xml:space="preserve"> </w:t>
      </w:r>
    </w:p>
    <w:p w:rsidR="00964F60" w:rsidRPr="007241EC" w:rsidRDefault="00964F60" w:rsidP="00964F60">
      <w:pPr>
        <w:pStyle w:val="Prrafodelista"/>
        <w:rPr>
          <w:rFonts w:ascii="Tahoma" w:hAnsi="Tahoma" w:cs="Tahoma"/>
        </w:rPr>
      </w:pPr>
    </w:p>
    <w:p w:rsidR="0070531A" w:rsidRPr="007241EC" w:rsidRDefault="0070531A" w:rsidP="00964F60">
      <w:pPr>
        <w:pStyle w:val="msonormalcxspmiddle"/>
        <w:widowControl w:val="0"/>
        <w:suppressAutoHyphens/>
        <w:spacing w:before="0" w:beforeAutospacing="0" w:after="0" w:afterAutospacing="0"/>
        <w:ind w:left="567"/>
        <w:contextualSpacing/>
        <w:jc w:val="both"/>
        <w:rPr>
          <w:rFonts w:ascii="Tahoma" w:hAnsi="Tahoma" w:cs="Tahoma"/>
          <w:sz w:val="20"/>
          <w:szCs w:val="20"/>
        </w:rPr>
      </w:pPr>
      <w:r w:rsidRPr="007241EC">
        <w:rPr>
          <w:rFonts w:ascii="Tahoma" w:hAnsi="Tahoma" w:cs="Tahoma"/>
          <w:sz w:val="20"/>
          <w:szCs w:val="20"/>
        </w:rPr>
        <w:t xml:space="preserve">Del mismo modo, el referido Laudo resolvió </w:t>
      </w:r>
      <w:r w:rsidRPr="007241EC">
        <w:rPr>
          <w:rFonts w:ascii="Tahoma" w:hAnsi="Tahoma" w:cs="Tahoma"/>
          <w:i/>
          <w:sz w:val="20"/>
          <w:szCs w:val="20"/>
        </w:rPr>
        <w:t xml:space="preserve">«Declarar infundada la segunda pretensión; en consecuencia no corresponde que el Tribunal Arbitral disponga el internamiento de las jeringas para determinar gases en la sangre Hepatest esterilizadas con oxido de etileno».   </w:t>
      </w:r>
      <w:r w:rsidRPr="007241EC">
        <w:rPr>
          <w:rFonts w:ascii="Tahoma" w:hAnsi="Tahoma" w:cs="Tahoma"/>
          <w:sz w:val="20"/>
          <w:szCs w:val="20"/>
        </w:rPr>
        <w:t xml:space="preserve"> </w:t>
      </w:r>
    </w:p>
    <w:p w:rsidR="00964F60" w:rsidRPr="007241EC" w:rsidRDefault="00964F60" w:rsidP="00964F60">
      <w:pPr>
        <w:pStyle w:val="Prrafodelista"/>
        <w:ind w:left="567"/>
        <w:jc w:val="both"/>
        <w:rPr>
          <w:rFonts w:ascii="Tahoma" w:hAnsi="Tahoma" w:cs="Tahoma"/>
        </w:rPr>
      </w:pPr>
    </w:p>
    <w:p w:rsidR="0070531A" w:rsidRPr="007241EC" w:rsidRDefault="0070531A" w:rsidP="00964F60">
      <w:pPr>
        <w:pStyle w:val="Prrafodelista"/>
        <w:numPr>
          <w:ilvl w:val="0"/>
          <w:numId w:val="4"/>
        </w:numPr>
        <w:tabs>
          <w:tab w:val="num" w:pos="567"/>
        </w:tabs>
        <w:ind w:left="567" w:hanging="567"/>
        <w:jc w:val="both"/>
        <w:rPr>
          <w:rFonts w:ascii="Tahoma" w:hAnsi="Tahoma" w:cs="Tahoma"/>
        </w:rPr>
      </w:pPr>
      <w:r w:rsidRPr="007241EC">
        <w:rPr>
          <w:rFonts w:ascii="Tahoma" w:hAnsi="Tahoma" w:cs="Tahoma"/>
        </w:rPr>
        <w:t>Así, las cosas, resulta pertinente traer a colación lo esbozado por el Contratista con ocasión a la presentación de sus descargos, en el cual manifestó que estando la solicitud de imposición de sanción administrativa efectuada por la Entidad directamente relacionada con la materia sometida en sede judicial, resulta pertinente suspender el presente procedimiento administrativo sancionador, hasta que se emita la sentencia respectiva, la misma que determinará la validez del Laudo Arbitral de Derecho de fecha 20 de diciembre de 2010.</w:t>
      </w:r>
    </w:p>
    <w:p w:rsidR="0070531A" w:rsidRPr="007241EC" w:rsidRDefault="0070531A" w:rsidP="0070531A">
      <w:pPr>
        <w:pStyle w:val="Prrafodelista"/>
        <w:ind w:left="567"/>
        <w:jc w:val="both"/>
        <w:rPr>
          <w:rFonts w:ascii="Tahoma" w:hAnsi="Tahoma" w:cs="Tahoma"/>
        </w:rPr>
      </w:pPr>
    </w:p>
    <w:p w:rsidR="0070531A" w:rsidRPr="007241EC" w:rsidRDefault="0070531A" w:rsidP="00964F60">
      <w:pPr>
        <w:pStyle w:val="Prrafodelista"/>
        <w:numPr>
          <w:ilvl w:val="0"/>
          <w:numId w:val="4"/>
        </w:numPr>
        <w:tabs>
          <w:tab w:val="num" w:pos="567"/>
        </w:tabs>
        <w:ind w:left="567" w:hanging="567"/>
        <w:jc w:val="both"/>
        <w:rPr>
          <w:rFonts w:ascii="Tahoma" w:hAnsi="Tahoma" w:cs="Tahoma"/>
        </w:rPr>
      </w:pPr>
      <w:r w:rsidRPr="007241EC">
        <w:rPr>
          <w:rFonts w:ascii="Tahoma" w:hAnsi="Tahoma" w:cs="Tahoma"/>
        </w:rPr>
        <w:t xml:space="preserve">En ese sentido, en aplicación del </w:t>
      </w:r>
      <w:r w:rsidRPr="007241EC">
        <w:rPr>
          <w:rFonts w:ascii="Tahoma" w:hAnsi="Tahoma" w:cs="Tahoma"/>
          <w:i/>
        </w:rPr>
        <w:t xml:space="preserve">Principio de Verdad Material, </w:t>
      </w:r>
      <w:r w:rsidRPr="007241EC">
        <w:rPr>
          <w:rFonts w:ascii="Tahoma" w:hAnsi="Tahoma" w:cs="Tahoma"/>
        </w:rPr>
        <w:t xml:space="preserve">contemplado en el numeral 1.11 del Artículo IV del Título Preliminar de la Ley № 27444, y para mejor resolver, a través del decreto de fecha 17 de junio de 2011, el Tribunal requirió </w:t>
      </w:r>
      <w:r w:rsidRPr="007241EC">
        <w:rPr>
          <w:rFonts w:ascii="Tahoma" w:eastAsia="Calibri" w:hAnsi="Tahoma" w:cs="Tahoma"/>
          <w:lang w:val="es-PE" w:eastAsia="en-US"/>
        </w:rPr>
        <w:t xml:space="preserve">a la Segunda Sala Civil Subespecializada Comercial de la Corte Superior de Justicia de Lima, que informe </w:t>
      </w:r>
      <w:r w:rsidRPr="007241EC">
        <w:rPr>
          <w:rFonts w:ascii="Tahoma" w:hAnsi="Tahoma" w:cs="Tahoma"/>
          <w:color w:val="000000"/>
          <w:lang w:val="es-ES_tradnl"/>
        </w:rPr>
        <w:t>sobre el estado actual en el que se encontraba el recurso de anulación interpuesto contra el citado Laudo que resolvió las controversias suscitadas respecto del Contrato № 4600029328. Así, también, se solicitó la misma información a la Entidad y el Contratista.</w:t>
      </w:r>
    </w:p>
    <w:p w:rsidR="0070531A" w:rsidRPr="007241EC" w:rsidRDefault="0070531A" w:rsidP="0070531A">
      <w:pPr>
        <w:pStyle w:val="Prrafodelista"/>
        <w:rPr>
          <w:rFonts w:ascii="Tahoma" w:eastAsia="Calibri" w:hAnsi="Tahoma" w:cs="Tahoma"/>
          <w:lang w:val="es-PE" w:eastAsia="en-US"/>
        </w:rPr>
      </w:pPr>
    </w:p>
    <w:p w:rsidR="0070531A" w:rsidRPr="007241EC" w:rsidRDefault="0070531A" w:rsidP="00964F60">
      <w:pPr>
        <w:numPr>
          <w:ilvl w:val="0"/>
          <w:numId w:val="4"/>
        </w:numPr>
        <w:tabs>
          <w:tab w:val="num" w:pos="540"/>
        </w:tabs>
        <w:ind w:left="540" w:hanging="540"/>
        <w:jc w:val="both"/>
        <w:rPr>
          <w:rFonts w:ascii="Tahoma" w:hAnsi="Tahoma" w:cs="Tahoma"/>
          <w:sz w:val="20"/>
          <w:szCs w:val="20"/>
          <w:lang w:val="es-PE"/>
        </w:rPr>
      </w:pPr>
      <w:r w:rsidRPr="007241EC">
        <w:rPr>
          <w:rFonts w:ascii="Tahoma" w:hAnsi="Tahoma" w:cs="Tahoma"/>
          <w:sz w:val="20"/>
          <w:szCs w:val="20"/>
        </w:rPr>
        <w:t>En respuesta a ello</w:t>
      </w:r>
      <w:r w:rsidRPr="007241EC">
        <w:rPr>
          <w:rFonts w:ascii="Tahoma" w:hAnsi="Tahoma" w:cs="Tahoma"/>
          <w:sz w:val="20"/>
          <w:szCs w:val="20"/>
          <w:lang w:val="es-PE"/>
        </w:rPr>
        <w:t xml:space="preserve">, con escrito presentado el 27 de junio de 2010, el Contratista exhibió ante este Tribunal la Resolución № Dos de fecha 01 de junio de 2011, mediante el cual la </w:t>
      </w:r>
      <w:r w:rsidRPr="007241EC">
        <w:rPr>
          <w:rFonts w:ascii="Tahoma" w:hAnsi="Tahoma" w:cs="Tahoma"/>
          <w:sz w:val="20"/>
          <w:szCs w:val="20"/>
          <w:lang w:val="es-PE" w:eastAsia="en-US"/>
        </w:rPr>
        <w:t xml:space="preserve">Segunda Sala Civil Subespecializada Comercial de la Corte Superior de Justicia de Lima admitió a trámite el recurso de anulación del </w:t>
      </w:r>
      <w:r w:rsidRPr="007241EC">
        <w:rPr>
          <w:rFonts w:ascii="Tahoma" w:hAnsi="Tahoma" w:cs="Tahoma"/>
          <w:sz w:val="20"/>
          <w:szCs w:val="20"/>
        </w:rPr>
        <w:t xml:space="preserve">Laudo Arbitral de Derecho de fecha 20 de diciembre de 2010, </w:t>
      </w:r>
      <w:r w:rsidRPr="007241EC">
        <w:rPr>
          <w:rFonts w:ascii="Tahoma" w:hAnsi="Tahoma" w:cs="Tahoma"/>
          <w:sz w:val="20"/>
          <w:szCs w:val="20"/>
          <w:lang w:val="es-PE"/>
        </w:rPr>
        <w:t xml:space="preserve">y que dio por válida la resolución del contrato efectuado por la Entidad contra el Contratista. Asimismo, la citada resolución ordenó que se corriera traslado del </w:t>
      </w:r>
      <w:r w:rsidRPr="007241EC">
        <w:rPr>
          <w:rFonts w:ascii="Tahoma" w:hAnsi="Tahoma" w:cs="Tahoma"/>
          <w:sz w:val="20"/>
          <w:szCs w:val="20"/>
          <w:lang w:val="es-PE"/>
        </w:rPr>
        <w:lastRenderedPageBreak/>
        <w:t>mencionado recurso a la Entidad para que exponga los conveniente a su derecho y ofrezca las pruebas que desea actuar.</w:t>
      </w:r>
    </w:p>
    <w:p w:rsidR="0070531A" w:rsidRPr="007241EC" w:rsidRDefault="0070531A" w:rsidP="0070531A">
      <w:pPr>
        <w:pStyle w:val="Prrafodelista"/>
        <w:rPr>
          <w:rFonts w:ascii="Tahoma" w:hAnsi="Tahoma" w:cs="Tahoma"/>
          <w:lang w:val="es-PE"/>
        </w:rPr>
      </w:pPr>
    </w:p>
    <w:p w:rsidR="0070531A" w:rsidRPr="007241EC" w:rsidRDefault="0070531A" w:rsidP="00964F60">
      <w:pPr>
        <w:pStyle w:val="Prrafodelista"/>
        <w:numPr>
          <w:ilvl w:val="0"/>
          <w:numId w:val="4"/>
        </w:numPr>
        <w:ind w:left="567" w:hanging="567"/>
        <w:jc w:val="both"/>
        <w:rPr>
          <w:rFonts w:ascii="Tahoma" w:eastAsia="Calibri" w:hAnsi="Tahoma" w:cs="Tahoma"/>
          <w:lang w:eastAsia="en-US"/>
        </w:rPr>
      </w:pPr>
      <w:r w:rsidRPr="007241EC">
        <w:rPr>
          <w:rFonts w:ascii="Tahoma" w:hAnsi="Tahoma" w:cs="Tahoma"/>
        </w:rPr>
        <w:t xml:space="preserve">Resulta, evidente que dicho proceso judicial se encuentra avocado a conocer y resolver el conflicto entre ambas partes, suscitado a raíz de la emisión del Laudo Arbitral de Derecho de fecha 20 de diciembre de 2010, en el cual se dispuso que no correspondía declarar la nulidad de la Resolución de Gerencia Central de Logística № 1033-GCL-OGA-ESSALUD-2009, la misma que resolvió el Contrato № 4600029328. </w:t>
      </w:r>
    </w:p>
    <w:p w:rsidR="0070531A" w:rsidRPr="007241EC" w:rsidRDefault="0070531A" w:rsidP="0070531A">
      <w:pPr>
        <w:pStyle w:val="Prrafodelista"/>
        <w:ind w:left="567"/>
        <w:jc w:val="both"/>
        <w:rPr>
          <w:rFonts w:ascii="Tahoma" w:eastAsia="Calibri" w:hAnsi="Tahoma" w:cs="Tahoma"/>
          <w:lang w:eastAsia="en-US"/>
        </w:rPr>
      </w:pPr>
    </w:p>
    <w:p w:rsidR="0070531A" w:rsidRPr="007241EC" w:rsidRDefault="0070531A" w:rsidP="00964F60">
      <w:pPr>
        <w:pStyle w:val="Prrafodelista"/>
        <w:numPr>
          <w:ilvl w:val="0"/>
          <w:numId w:val="4"/>
        </w:numPr>
        <w:ind w:left="567" w:hanging="567"/>
        <w:jc w:val="both"/>
        <w:rPr>
          <w:rFonts w:ascii="Tahoma" w:eastAsia="Calibri" w:hAnsi="Tahoma" w:cs="Tahoma"/>
          <w:lang w:eastAsia="en-US"/>
        </w:rPr>
      </w:pPr>
      <w:r w:rsidRPr="007241EC">
        <w:rPr>
          <w:rFonts w:ascii="Tahoma" w:hAnsi="Tahoma" w:cs="Tahoma"/>
          <w:lang w:val="es-PE"/>
        </w:rPr>
        <w:t xml:space="preserve">Nótese, entonces que la demanda presentada en el proceso judicial acotado, cuestiona lo resuelto por el Tribunal Arbitral, aquél que resolvió las controversias suscitadas en el </w:t>
      </w:r>
      <w:r w:rsidRPr="007241EC">
        <w:rPr>
          <w:rFonts w:ascii="Tahoma" w:hAnsi="Tahoma" w:cs="Tahoma"/>
        </w:rPr>
        <w:t xml:space="preserve">Contrato № 4600029328, el mismo que fue resulto por causa atribuible al Contratista. Con mayor razón, para imponerse una sanción administrativa a una empresa proveedora por la infracción denunciada, que se traduzca en su inhabilitación temporal para contratar con el Estado, no puede prescindirse del pronunciamiento del Poder Judicial, que decidirá si anula o no el menciona laudo, toda vez que lo contrario podría dar lugar a la imposición de una sanción de manera arbitraria. Por ello, el procedimiento sancionador debiera tramitarse únicamente si se ha verificado alguno de los siguientes supuestos: el </w:t>
      </w:r>
      <w:r w:rsidRPr="007241EC">
        <w:rPr>
          <w:rFonts w:ascii="Tahoma" w:hAnsi="Tahoma" w:cs="Tahoma"/>
          <w:i/>
          <w:u w:val="single"/>
        </w:rPr>
        <w:t>consentimiento de la resolución del contrato</w:t>
      </w:r>
      <w:r w:rsidRPr="007241EC">
        <w:rPr>
          <w:rFonts w:ascii="Tahoma" w:hAnsi="Tahoma" w:cs="Tahoma"/>
        </w:rPr>
        <w:t xml:space="preserve"> o que, </w:t>
      </w:r>
      <w:r w:rsidRPr="007241EC">
        <w:rPr>
          <w:rFonts w:ascii="Tahoma" w:hAnsi="Tahoma" w:cs="Tahoma"/>
          <w:i/>
          <w:u w:val="single"/>
        </w:rPr>
        <w:t>mediante Laudo Arbitral debidamente consentido y ejecutoriado, se haya declarado procedente la decisión de la Entidad de resolver el contrato</w:t>
      </w:r>
      <w:r w:rsidRPr="007241EC">
        <w:rPr>
          <w:rFonts w:ascii="Tahoma" w:hAnsi="Tahoma" w:cs="Tahoma"/>
        </w:rPr>
        <w:t xml:space="preserve"> por causales imputables al Contratista.</w:t>
      </w:r>
    </w:p>
    <w:p w:rsidR="0070531A" w:rsidRPr="007241EC" w:rsidRDefault="0070531A" w:rsidP="0070531A">
      <w:pPr>
        <w:pStyle w:val="Prrafodelista"/>
        <w:rPr>
          <w:rFonts w:ascii="Tahoma" w:eastAsiaTheme="minorHAnsi" w:hAnsi="Tahoma" w:cs="Tahoma"/>
          <w:lang w:val="es-ES_tradnl" w:eastAsia="en-US"/>
        </w:rPr>
      </w:pPr>
    </w:p>
    <w:p w:rsidR="0070531A" w:rsidRPr="007241EC" w:rsidRDefault="0070531A" w:rsidP="00964F60">
      <w:pPr>
        <w:pStyle w:val="Prrafodelista"/>
        <w:numPr>
          <w:ilvl w:val="0"/>
          <w:numId w:val="4"/>
        </w:numPr>
        <w:autoSpaceDE w:val="0"/>
        <w:autoSpaceDN w:val="0"/>
        <w:adjustRightInd w:val="0"/>
        <w:ind w:left="567" w:hanging="567"/>
        <w:jc w:val="both"/>
        <w:rPr>
          <w:rFonts w:ascii="Tahoma" w:eastAsiaTheme="minorHAnsi" w:hAnsi="Tahoma" w:cs="Tahoma"/>
          <w:lang w:eastAsia="en-US"/>
        </w:rPr>
      </w:pPr>
      <w:r w:rsidRPr="007241EC">
        <w:rPr>
          <w:rFonts w:ascii="Tahoma" w:eastAsiaTheme="minorHAnsi" w:hAnsi="Tahoma" w:cs="Tahoma"/>
          <w:lang w:val="es-ES_tradnl" w:eastAsia="en-US"/>
        </w:rPr>
        <w:t xml:space="preserve">En ese orden de ideas, y de conformidad  al </w:t>
      </w:r>
      <w:r w:rsidRPr="007241EC">
        <w:rPr>
          <w:rFonts w:ascii="Tahoma" w:eastAsiaTheme="minorHAnsi" w:hAnsi="Tahoma" w:cs="Tahoma"/>
          <w:lang w:eastAsia="en-US"/>
        </w:rPr>
        <w:t>artículo 244 del Reglamento</w:t>
      </w:r>
      <w:r w:rsidRPr="007241EC">
        <w:rPr>
          <w:rStyle w:val="Refdenotaalpie"/>
          <w:rFonts w:ascii="Tahoma" w:eastAsiaTheme="minorHAnsi" w:hAnsi="Tahoma" w:cs="Tahoma"/>
          <w:lang w:eastAsia="en-US"/>
        </w:rPr>
        <w:footnoteReference w:id="7"/>
      </w:r>
      <w:r w:rsidRPr="007241EC">
        <w:rPr>
          <w:rFonts w:ascii="Tahoma" w:eastAsiaTheme="minorHAnsi" w:hAnsi="Tahoma" w:cs="Tahoma"/>
          <w:lang w:eastAsia="en-US"/>
        </w:rPr>
        <w:t>, en concordancia con la Ley № 27444, Ley del Procedimiento Administrativo General</w:t>
      </w:r>
      <w:r w:rsidRPr="007241EC">
        <w:rPr>
          <w:rStyle w:val="Refdenotaalpie"/>
          <w:rFonts w:ascii="Tahoma" w:eastAsiaTheme="minorHAnsi" w:hAnsi="Tahoma" w:cs="Tahoma"/>
          <w:lang w:eastAsia="en-US"/>
        </w:rPr>
        <w:footnoteReference w:id="8"/>
      </w:r>
      <w:r w:rsidRPr="007241EC">
        <w:rPr>
          <w:rFonts w:ascii="Tahoma" w:eastAsiaTheme="minorHAnsi" w:hAnsi="Tahoma" w:cs="Tahoma"/>
          <w:lang w:eastAsia="en-US"/>
        </w:rPr>
        <w:t>, el procedimiento sancionador se suspende en virtud de la existencia de un proceso judicial, para aquellos casos en los que el pronunciamiento de la autoridad administrativa está condicionado a la previa resolución del conflicto judicial, porque de otro modo, se estarían constituyendo derechos administrativos que afectarían los resultados de la función jurisdiccional que es exclusiva del Poder Judicial</w:t>
      </w:r>
      <w:r w:rsidRPr="007241EC">
        <w:rPr>
          <w:rStyle w:val="Refdenotaalpie"/>
          <w:rFonts w:ascii="Tahoma" w:eastAsiaTheme="minorHAnsi" w:hAnsi="Tahoma" w:cs="Tahoma"/>
          <w:lang w:eastAsia="en-US"/>
        </w:rPr>
        <w:footnoteReference w:id="9"/>
      </w:r>
      <w:r w:rsidRPr="007241EC">
        <w:rPr>
          <w:rFonts w:ascii="Tahoma" w:eastAsiaTheme="minorHAnsi" w:hAnsi="Tahoma" w:cs="Tahoma"/>
          <w:lang w:eastAsia="en-US"/>
        </w:rPr>
        <w:t>.</w:t>
      </w:r>
    </w:p>
    <w:p w:rsidR="0070531A" w:rsidRPr="007241EC" w:rsidRDefault="0070531A" w:rsidP="0070531A">
      <w:pPr>
        <w:pStyle w:val="Prrafodelista"/>
        <w:rPr>
          <w:rFonts w:ascii="Tahoma" w:hAnsi="Tahoma" w:cs="Tahoma"/>
        </w:rPr>
      </w:pPr>
    </w:p>
    <w:p w:rsidR="0070531A" w:rsidRPr="007241EC" w:rsidRDefault="0070531A" w:rsidP="00964F60">
      <w:pPr>
        <w:pStyle w:val="Prrafodelista"/>
        <w:numPr>
          <w:ilvl w:val="0"/>
          <w:numId w:val="4"/>
        </w:numPr>
        <w:autoSpaceDE w:val="0"/>
        <w:autoSpaceDN w:val="0"/>
        <w:adjustRightInd w:val="0"/>
        <w:ind w:left="567" w:hanging="567"/>
        <w:jc w:val="both"/>
        <w:rPr>
          <w:rFonts w:ascii="Tahoma" w:eastAsiaTheme="minorHAnsi" w:hAnsi="Tahoma" w:cs="Tahoma"/>
          <w:lang w:eastAsia="en-US"/>
        </w:rPr>
      </w:pPr>
      <w:r w:rsidRPr="007241EC">
        <w:rPr>
          <w:rFonts w:ascii="Tahoma" w:hAnsi="Tahoma" w:cs="Tahoma"/>
        </w:rPr>
        <w:lastRenderedPageBreak/>
        <w:t>En consecuencia; y en vista que la materia del proceso judicial gira directamente contra lo resuelto en el Laudo Arbitral de Derecho de fecha 20 de diciembre de 2010 (el mismo que no ha quedado consentido), y por su efecto la presunta responsabilidad del Contratista en la resolución del contrato antes mencionado, elemento esencial de la imputación materia del presente análisis administrativo, por lo que resulta pertinente suspender el presente procedimiento administrativo sancionador, hasta que se emita la resolución que ponga fin al proceso judicial en curso, a efectos de evaluar posteriormente la procedencia de la aplicación de responsabilidad administrativa que corresponda.</w:t>
      </w:r>
    </w:p>
    <w:p w:rsidR="0070531A" w:rsidRPr="007241EC" w:rsidRDefault="0070531A" w:rsidP="0070531A">
      <w:pPr>
        <w:pStyle w:val="Prrafodelista"/>
        <w:rPr>
          <w:rFonts w:ascii="Tahoma" w:hAnsi="Tahoma" w:cs="Tahoma"/>
        </w:rPr>
      </w:pPr>
    </w:p>
    <w:p w:rsidR="0070531A" w:rsidRPr="007241EC" w:rsidRDefault="0070531A" w:rsidP="00964F60">
      <w:pPr>
        <w:pStyle w:val="Prrafodelista"/>
        <w:numPr>
          <w:ilvl w:val="0"/>
          <w:numId w:val="4"/>
        </w:numPr>
        <w:autoSpaceDE w:val="0"/>
        <w:autoSpaceDN w:val="0"/>
        <w:adjustRightInd w:val="0"/>
        <w:ind w:left="567" w:hanging="567"/>
        <w:jc w:val="both"/>
        <w:rPr>
          <w:rFonts w:ascii="Tahoma" w:eastAsiaTheme="minorHAnsi" w:hAnsi="Tahoma" w:cs="Tahoma"/>
          <w:lang w:eastAsia="en-US"/>
        </w:rPr>
      </w:pPr>
      <w:r w:rsidRPr="007241EC">
        <w:rPr>
          <w:rFonts w:ascii="Tahoma" w:hAnsi="Tahoma" w:cs="Tahoma"/>
        </w:rPr>
        <w:t>Ahora bien, y por las Consideraciones expuestas, a juicio de este Tribunal, se concluye que en el caso de autos se debe suspender el procedimiento administrativo sancionador, iniciado contra la empresa DENTI-LAB DEL PERU SRLTDA, hasta que se emita la sentencia de la Segunda Sala Superior Subespecialidad en Materia Comercial de la Corte Superior de Justicia de Lima. En este sentido, una vez que dicha sentencia quedase consentida y ejecutoriada la  suspensión deberá levantarse.</w:t>
      </w:r>
    </w:p>
    <w:p w:rsidR="001776B6" w:rsidRPr="007241EC" w:rsidRDefault="001776B6" w:rsidP="001776B6">
      <w:pPr>
        <w:pStyle w:val="Prrafodelista"/>
        <w:jc w:val="both"/>
        <w:rPr>
          <w:rFonts w:ascii="Tahoma" w:hAnsi="Tahoma" w:cs="Tahoma"/>
        </w:rPr>
      </w:pPr>
    </w:p>
    <w:p w:rsidR="00DA127C" w:rsidRPr="007241EC" w:rsidRDefault="00DA127C" w:rsidP="00DA127C">
      <w:pPr>
        <w:ind w:left="567" w:firstLine="567"/>
        <w:jc w:val="both"/>
        <w:rPr>
          <w:rFonts w:ascii="Tahoma" w:hAnsi="Tahoma" w:cs="Tahoma"/>
          <w:sz w:val="20"/>
          <w:szCs w:val="20"/>
        </w:rPr>
      </w:pPr>
      <w:r w:rsidRPr="007241EC">
        <w:rPr>
          <w:rFonts w:ascii="Tahoma" w:hAnsi="Tahoma" w:cs="Tahoma"/>
          <w:color w:val="000000"/>
          <w:sz w:val="20"/>
          <w:szCs w:val="20"/>
        </w:rPr>
        <w:t xml:space="preserve">Por estos fundamentos, de conformidad con el informe del Vocal Ponente </w:t>
      </w:r>
      <w:r w:rsidRPr="007241EC">
        <w:rPr>
          <w:rFonts w:ascii="Tahoma" w:hAnsi="Tahoma" w:cs="Tahoma"/>
          <w:sz w:val="20"/>
          <w:szCs w:val="20"/>
        </w:rPr>
        <w:t>Doctor Carlos Vicente Navas Rondón</w:t>
      </w:r>
      <w:r w:rsidRPr="007241EC">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w:t>
      </w:r>
      <w:r w:rsidR="00964F60" w:rsidRPr="007241EC">
        <w:rPr>
          <w:rFonts w:ascii="Tahoma" w:hAnsi="Tahoma" w:cs="Tahoma"/>
          <w:color w:val="000000"/>
          <w:sz w:val="20"/>
          <w:szCs w:val="20"/>
        </w:rPr>
        <w:t>mayoría</w:t>
      </w:r>
      <w:r w:rsidRPr="007241EC">
        <w:rPr>
          <w:rFonts w:ascii="Tahoma" w:hAnsi="Tahoma" w:cs="Tahoma"/>
          <w:color w:val="000000"/>
          <w:sz w:val="20"/>
          <w:szCs w:val="20"/>
        </w:rPr>
        <w:t>;</w:t>
      </w:r>
    </w:p>
    <w:p w:rsidR="00E13E6B" w:rsidRPr="007241EC" w:rsidRDefault="00E13E6B" w:rsidP="00E13E6B">
      <w:pPr>
        <w:jc w:val="both"/>
        <w:rPr>
          <w:rFonts w:ascii="Tahoma" w:hAnsi="Tahoma" w:cs="Tahoma"/>
          <w:sz w:val="20"/>
          <w:szCs w:val="20"/>
        </w:rPr>
      </w:pPr>
    </w:p>
    <w:p w:rsidR="00E13E6B" w:rsidRPr="007241EC" w:rsidRDefault="00E13E6B" w:rsidP="00E13E6B">
      <w:pPr>
        <w:ind w:firstLine="567"/>
        <w:jc w:val="both"/>
        <w:rPr>
          <w:rFonts w:ascii="Tahoma" w:hAnsi="Tahoma" w:cs="Tahoma"/>
          <w:b/>
          <w:sz w:val="20"/>
          <w:szCs w:val="20"/>
        </w:rPr>
      </w:pPr>
      <w:r w:rsidRPr="007241EC">
        <w:rPr>
          <w:rFonts w:ascii="Tahoma" w:hAnsi="Tahoma" w:cs="Tahoma"/>
          <w:b/>
          <w:sz w:val="20"/>
          <w:szCs w:val="20"/>
        </w:rPr>
        <w:t xml:space="preserve">LA SALA RESUELVE: </w:t>
      </w:r>
    </w:p>
    <w:p w:rsidR="00E13E6B" w:rsidRPr="007241EC" w:rsidRDefault="00E13E6B" w:rsidP="00E13E6B">
      <w:pPr>
        <w:ind w:left="400"/>
        <w:jc w:val="both"/>
        <w:rPr>
          <w:rFonts w:ascii="Tahoma" w:hAnsi="Tahoma" w:cs="Tahoma"/>
          <w:snapToGrid w:val="0"/>
          <w:sz w:val="20"/>
          <w:szCs w:val="20"/>
        </w:rPr>
      </w:pPr>
    </w:p>
    <w:p w:rsidR="0070531A" w:rsidRPr="007241EC" w:rsidRDefault="0070531A" w:rsidP="0070531A">
      <w:pPr>
        <w:ind w:left="567"/>
        <w:jc w:val="both"/>
        <w:rPr>
          <w:rFonts w:ascii="Tahoma" w:hAnsi="Tahoma" w:cs="Tahoma"/>
          <w:sz w:val="20"/>
          <w:szCs w:val="20"/>
        </w:rPr>
      </w:pPr>
      <w:r w:rsidRPr="007241EC">
        <w:rPr>
          <w:rFonts w:ascii="Tahoma" w:hAnsi="Tahoma" w:cs="Tahoma"/>
          <w:sz w:val="20"/>
          <w:szCs w:val="20"/>
        </w:rPr>
        <w:t>Disponer la suspensión temporal del procedimiento administrativo sancionador iniciado contra la empresa DENTI-LAB DEL PERU SRLTDA por su supuesta responsabilidad en la comisión de la infracción tipificada literal b) del numeral 51.1 del artículo 51 de la Ley, hasta que se emita la sentencia correspondiente y adquiera la calidad de consentido y ejecutoriado, supuesto en el cual dicha suspensión deberá levantarse.</w:t>
      </w:r>
    </w:p>
    <w:p w:rsidR="00E13E6B" w:rsidRPr="007241EC" w:rsidRDefault="00E13E6B" w:rsidP="00E13E6B">
      <w:pPr>
        <w:pStyle w:val="Prrafodelista"/>
        <w:jc w:val="both"/>
        <w:rPr>
          <w:rFonts w:ascii="Tahoma" w:hAnsi="Tahoma" w:cs="Tahoma"/>
        </w:rPr>
      </w:pPr>
    </w:p>
    <w:p w:rsidR="00E13E6B" w:rsidRPr="007241EC" w:rsidRDefault="00E13E6B" w:rsidP="00E13E6B">
      <w:pPr>
        <w:pStyle w:val="Textoindependiente21"/>
        <w:ind w:firstLine="360"/>
        <w:rPr>
          <w:rFonts w:cs="Tahoma"/>
          <w:sz w:val="20"/>
        </w:rPr>
      </w:pPr>
      <w:r w:rsidRPr="007241EC">
        <w:rPr>
          <w:rFonts w:cs="Tahoma"/>
          <w:sz w:val="20"/>
        </w:rPr>
        <w:t>Regístrese, comuníquese y publíquese.</w:t>
      </w:r>
    </w:p>
    <w:p w:rsidR="00E13E6B" w:rsidRDefault="00E13E6B" w:rsidP="00E13E6B">
      <w:pPr>
        <w:jc w:val="both"/>
        <w:rPr>
          <w:rFonts w:ascii="Tahoma" w:hAnsi="Tahoma" w:cs="Tahoma"/>
          <w:b/>
          <w:bCs/>
          <w:shadow/>
          <w:sz w:val="20"/>
          <w:szCs w:val="20"/>
        </w:rPr>
      </w:pPr>
    </w:p>
    <w:p w:rsidR="007241EC" w:rsidRDefault="007241EC" w:rsidP="00E13E6B">
      <w:pPr>
        <w:jc w:val="both"/>
        <w:rPr>
          <w:rFonts w:ascii="Tahoma" w:hAnsi="Tahoma" w:cs="Tahoma"/>
          <w:b/>
          <w:bCs/>
          <w:shadow/>
          <w:sz w:val="20"/>
          <w:szCs w:val="20"/>
        </w:rPr>
      </w:pPr>
    </w:p>
    <w:p w:rsidR="007241EC" w:rsidRPr="007241EC" w:rsidRDefault="007241EC" w:rsidP="00E13E6B">
      <w:pPr>
        <w:jc w:val="both"/>
        <w:rPr>
          <w:rFonts w:ascii="Tahoma" w:hAnsi="Tahoma" w:cs="Tahoma"/>
          <w:b/>
          <w:bCs/>
          <w:shadow/>
          <w:sz w:val="20"/>
          <w:szCs w:val="20"/>
        </w:rPr>
      </w:pPr>
    </w:p>
    <w:p w:rsidR="00DA127C" w:rsidRPr="007241EC" w:rsidRDefault="00DA127C" w:rsidP="00E13E6B">
      <w:pPr>
        <w:jc w:val="both"/>
        <w:rPr>
          <w:rFonts w:ascii="Tahoma" w:hAnsi="Tahoma" w:cs="Tahoma"/>
          <w:b/>
          <w:bCs/>
          <w:shadow/>
          <w:sz w:val="20"/>
          <w:szCs w:val="20"/>
        </w:rPr>
      </w:pPr>
    </w:p>
    <w:p w:rsidR="00E13E6B" w:rsidRPr="007241EC" w:rsidRDefault="00E13E6B" w:rsidP="00295C50">
      <w:pPr>
        <w:jc w:val="center"/>
        <w:rPr>
          <w:rFonts w:ascii="Tahoma" w:hAnsi="Tahoma" w:cs="Tahoma"/>
          <w:b/>
          <w:bCs/>
          <w:shadow/>
          <w:sz w:val="20"/>
          <w:szCs w:val="20"/>
        </w:rPr>
      </w:pPr>
      <w:r w:rsidRPr="007241EC">
        <w:rPr>
          <w:rFonts w:ascii="Tahoma" w:hAnsi="Tahoma" w:cs="Tahoma"/>
          <w:b/>
          <w:bCs/>
          <w:shadow/>
          <w:sz w:val="20"/>
          <w:szCs w:val="20"/>
        </w:rPr>
        <w:t>PRESIDENTE</w:t>
      </w:r>
    </w:p>
    <w:p w:rsidR="00E13E6B" w:rsidRPr="007241EC" w:rsidRDefault="00E13E6B" w:rsidP="00C5251B">
      <w:pPr>
        <w:jc w:val="center"/>
        <w:rPr>
          <w:rFonts w:ascii="Tahoma" w:hAnsi="Tahoma" w:cs="Tahoma"/>
          <w:b/>
          <w:bCs/>
          <w:shadow/>
          <w:sz w:val="20"/>
          <w:szCs w:val="20"/>
        </w:rPr>
      </w:pPr>
    </w:p>
    <w:p w:rsidR="00E13E6B" w:rsidRPr="007241EC" w:rsidRDefault="00E13E6B" w:rsidP="00C5251B">
      <w:pPr>
        <w:jc w:val="center"/>
        <w:rPr>
          <w:rFonts w:ascii="Tahoma" w:hAnsi="Tahoma" w:cs="Tahoma"/>
          <w:b/>
          <w:bCs/>
          <w:shadow/>
          <w:sz w:val="20"/>
          <w:szCs w:val="20"/>
        </w:rPr>
      </w:pPr>
    </w:p>
    <w:p w:rsidR="00E13E6B" w:rsidRPr="007241EC" w:rsidRDefault="00E13E6B" w:rsidP="00964F60">
      <w:pPr>
        <w:rPr>
          <w:rFonts w:ascii="Tahoma" w:hAnsi="Tahoma" w:cs="Tahoma"/>
          <w:b/>
          <w:shadow/>
          <w:sz w:val="20"/>
          <w:szCs w:val="20"/>
        </w:rPr>
      </w:pPr>
      <w:r w:rsidRPr="007241EC">
        <w:rPr>
          <w:rFonts w:ascii="Tahoma" w:hAnsi="Tahoma" w:cs="Tahoma"/>
          <w:b/>
          <w:shadow/>
          <w:sz w:val="20"/>
          <w:szCs w:val="20"/>
        </w:rPr>
        <w:t xml:space="preserve">VOCAL         </w:t>
      </w:r>
      <w:r w:rsidRPr="007241EC">
        <w:rPr>
          <w:rFonts w:ascii="Tahoma" w:hAnsi="Tahoma" w:cs="Tahoma"/>
          <w:b/>
          <w:shadow/>
          <w:sz w:val="20"/>
          <w:szCs w:val="20"/>
        </w:rPr>
        <w:tab/>
      </w:r>
      <w:r w:rsidRPr="007241EC">
        <w:rPr>
          <w:rFonts w:ascii="Tahoma" w:hAnsi="Tahoma" w:cs="Tahoma"/>
          <w:b/>
          <w:shadow/>
          <w:sz w:val="20"/>
          <w:szCs w:val="20"/>
        </w:rPr>
        <w:tab/>
        <w:t xml:space="preserve">                                                                </w:t>
      </w:r>
    </w:p>
    <w:p w:rsidR="00E13E6B" w:rsidRPr="007241EC" w:rsidRDefault="00E13E6B" w:rsidP="00E13E6B">
      <w:pPr>
        <w:jc w:val="both"/>
        <w:rPr>
          <w:rFonts w:ascii="Tahoma" w:hAnsi="Tahoma" w:cs="Tahoma"/>
          <w:sz w:val="20"/>
          <w:szCs w:val="20"/>
        </w:rPr>
      </w:pPr>
      <w:r w:rsidRPr="007241EC">
        <w:rPr>
          <w:rFonts w:ascii="Tahoma" w:hAnsi="Tahoma" w:cs="Tahoma"/>
          <w:sz w:val="20"/>
          <w:szCs w:val="20"/>
        </w:rPr>
        <w:t>ss.</w:t>
      </w:r>
    </w:p>
    <w:p w:rsidR="00351F6F" w:rsidRPr="007241EC" w:rsidRDefault="00351F6F" w:rsidP="00351F6F">
      <w:pPr>
        <w:jc w:val="both"/>
        <w:rPr>
          <w:rFonts w:ascii="Tahoma" w:hAnsi="Tahoma" w:cs="Tahoma"/>
          <w:sz w:val="20"/>
          <w:szCs w:val="20"/>
        </w:rPr>
      </w:pPr>
      <w:r w:rsidRPr="007241EC">
        <w:rPr>
          <w:rFonts w:ascii="Tahoma" w:hAnsi="Tahoma" w:cs="Tahoma"/>
          <w:sz w:val="20"/>
          <w:szCs w:val="20"/>
        </w:rPr>
        <w:t>Navas Rondón</w:t>
      </w:r>
    </w:p>
    <w:p w:rsidR="00351F6F" w:rsidRPr="007241EC" w:rsidRDefault="00351F6F" w:rsidP="00351F6F">
      <w:pPr>
        <w:jc w:val="both"/>
        <w:rPr>
          <w:rFonts w:ascii="Tahoma" w:hAnsi="Tahoma" w:cs="Tahoma"/>
          <w:sz w:val="20"/>
          <w:szCs w:val="20"/>
        </w:rPr>
      </w:pPr>
      <w:r w:rsidRPr="007241EC">
        <w:rPr>
          <w:rFonts w:ascii="Tahoma" w:hAnsi="Tahoma" w:cs="Tahoma"/>
          <w:sz w:val="20"/>
          <w:szCs w:val="20"/>
        </w:rPr>
        <w:t>Basulto Liewald.</w:t>
      </w:r>
    </w:p>
    <w:p w:rsidR="00964F60" w:rsidRPr="007241EC" w:rsidRDefault="00964F60" w:rsidP="00964F60">
      <w:pPr>
        <w:ind w:left="567"/>
        <w:jc w:val="center"/>
        <w:rPr>
          <w:rFonts w:ascii="Tahoma" w:hAnsi="Tahoma" w:cs="Tahoma"/>
          <w:b/>
          <w:bCs/>
          <w:sz w:val="20"/>
          <w:szCs w:val="20"/>
        </w:rPr>
      </w:pPr>
      <w:r w:rsidRPr="007241EC">
        <w:rPr>
          <w:rFonts w:ascii="Tahoma" w:hAnsi="Tahoma" w:cs="Tahoma"/>
          <w:b/>
          <w:bCs/>
          <w:sz w:val="20"/>
          <w:szCs w:val="20"/>
        </w:rPr>
        <w:lastRenderedPageBreak/>
        <w:t>VOTO EN DISCORDIA DE LA VOCAL DE LA PRIMERA SALA JANETTE ELKE RAMÍREZ MAYNETTO</w:t>
      </w:r>
    </w:p>
    <w:p w:rsidR="00964F60" w:rsidRPr="007241EC" w:rsidRDefault="00964F60" w:rsidP="00964F60">
      <w:pPr>
        <w:ind w:left="720"/>
        <w:rPr>
          <w:rFonts w:ascii="Tahoma" w:hAnsi="Tahoma" w:cs="Tahoma"/>
          <w:b/>
          <w:bCs/>
          <w:i/>
          <w:iCs/>
          <w:sz w:val="20"/>
          <w:szCs w:val="20"/>
        </w:rPr>
      </w:pPr>
    </w:p>
    <w:p w:rsidR="00964F60" w:rsidRPr="007241EC" w:rsidRDefault="00964F60" w:rsidP="00964F60">
      <w:pPr>
        <w:rPr>
          <w:rFonts w:ascii="Tahoma" w:hAnsi="Tahoma" w:cs="Tahoma"/>
          <w:sz w:val="20"/>
          <w:szCs w:val="20"/>
        </w:rPr>
      </w:pPr>
      <w:r w:rsidRPr="007241EC">
        <w:rPr>
          <w:rFonts w:ascii="Tahoma" w:hAnsi="Tahoma" w:cs="Tahoma"/>
          <w:sz w:val="20"/>
          <w:szCs w:val="20"/>
        </w:rPr>
        <w:t>La Vocal que suscribe discrepa respetuosamente de la decisión de la mayoría, basada en los numerales 12 y siguientes de la fundamentación, sustentando el presente Voto en Discordia en las consideraciones que a continuación se detallan:</w:t>
      </w:r>
    </w:p>
    <w:p w:rsidR="00964F60" w:rsidRPr="007241EC" w:rsidRDefault="00964F60" w:rsidP="00964F60">
      <w:pPr>
        <w:ind w:left="567"/>
        <w:rPr>
          <w:rFonts w:ascii="Tahoma" w:hAnsi="Tahoma" w:cs="Tahoma"/>
          <w:b/>
          <w:bCs/>
          <w:i/>
          <w:iCs/>
          <w:sz w:val="20"/>
          <w:szCs w:val="20"/>
        </w:rPr>
      </w:pPr>
    </w:p>
    <w:p w:rsidR="00964F60" w:rsidRPr="007241EC" w:rsidRDefault="00964F60" w:rsidP="00964F60">
      <w:pPr>
        <w:rPr>
          <w:rFonts w:ascii="Tahoma" w:hAnsi="Tahoma" w:cs="Tahoma"/>
          <w:b/>
          <w:bCs/>
          <w:i/>
          <w:iCs/>
          <w:sz w:val="20"/>
          <w:szCs w:val="20"/>
        </w:rPr>
      </w:pPr>
      <w:r w:rsidRPr="007241EC">
        <w:rPr>
          <w:rFonts w:ascii="Tahoma" w:hAnsi="Tahoma" w:cs="Tahoma"/>
          <w:b/>
          <w:bCs/>
          <w:i/>
          <w:iCs/>
          <w:sz w:val="20"/>
          <w:szCs w:val="20"/>
        </w:rPr>
        <w:t>Respecto del proceso arbitral, el recurso de anulación contra el Laudo Arbitral y su presunta vinculación al procedimiento sancionador</w:t>
      </w:r>
    </w:p>
    <w:p w:rsidR="00964F60" w:rsidRPr="007241EC" w:rsidRDefault="00964F60" w:rsidP="00964F60">
      <w:pPr>
        <w:ind w:left="720"/>
        <w:rPr>
          <w:rFonts w:ascii="Tahoma" w:hAnsi="Tahoma" w:cs="Tahoma"/>
          <w:b/>
          <w:bCs/>
          <w:sz w:val="20"/>
          <w:szCs w:val="20"/>
        </w:rPr>
      </w:pPr>
    </w:p>
    <w:p w:rsidR="00964F60" w:rsidRPr="007241EC" w:rsidRDefault="00964F60" w:rsidP="00964F60">
      <w:pPr>
        <w:numPr>
          <w:ilvl w:val="0"/>
          <w:numId w:val="34"/>
        </w:numPr>
        <w:ind w:hanging="720"/>
        <w:jc w:val="both"/>
        <w:rPr>
          <w:rFonts w:ascii="Tahoma" w:hAnsi="Tahoma" w:cs="Tahoma"/>
          <w:sz w:val="20"/>
          <w:szCs w:val="20"/>
        </w:rPr>
      </w:pPr>
      <w:r w:rsidRPr="007241EC">
        <w:rPr>
          <w:rFonts w:ascii="Tahoma" w:hAnsi="Tahoma" w:cs="Tahoma"/>
          <w:sz w:val="20"/>
          <w:szCs w:val="20"/>
        </w:rPr>
        <w:t>Sobre este asunto, el Contratista, al presentar sus descargos, manifestó que el Laudo Arbitral del 20 de diciembre de 2010, integrado por Resolución Nº 21, no se encuentra consentido, ni tiene la calidad de cosa juzgada, al haber sido cuestionado ante el Poder Judicial, mediante recurso de anulación ante la Segunda Sala Civil Especializada en lo comercial de la Corte Superior de Justicia de Lima (Expediente Nº 117-2011-0-1817-SP-CO-02). Según informó, esta demanda se sustenta en el inciso 1 del artículo 63º del Decreto Legislativo Nº 1071, referido a que el Tribunal arbitral ha resuelto sobre materias no sometidas a su decisión.</w:t>
      </w:r>
    </w:p>
    <w:p w:rsidR="00964F60" w:rsidRPr="007241EC" w:rsidRDefault="00964F60" w:rsidP="00964F60">
      <w:pPr>
        <w:ind w:left="1440"/>
        <w:rPr>
          <w:rFonts w:ascii="Tahoma" w:hAnsi="Tahoma" w:cs="Tahoma"/>
          <w:sz w:val="20"/>
          <w:szCs w:val="20"/>
        </w:rPr>
      </w:pPr>
    </w:p>
    <w:p w:rsidR="00964F60" w:rsidRPr="007241EC" w:rsidRDefault="00964F60" w:rsidP="00964F60">
      <w:pPr>
        <w:ind w:left="708"/>
        <w:jc w:val="both"/>
        <w:rPr>
          <w:rFonts w:ascii="Tahoma" w:hAnsi="Tahoma" w:cs="Tahoma"/>
          <w:sz w:val="20"/>
          <w:szCs w:val="20"/>
        </w:rPr>
      </w:pPr>
      <w:r w:rsidRPr="007241EC">
        <w:rPr>
          <w:rFonts w:ascii="Tahoma" w:hAnsi="Tahoma" w:cs="Tahoma"/>
          <w:sz w:val="20"/>
          <w:szCs w:val="20"/>
        </w:rPr>
        <w:t>Por esta razón, arguyó que lo resuelto por la Segunda Sala Comercial de Lima, tendrá directa validez en el Laudo de fecha 20 de diciembre de 2010, en vista que lo dispuesto debe ostentar la condición de verdad jurídica incuestionable. Según lo indicado por el Contratista, esta situación no ocurre en este caso, pues la verdad jurídica acerca de la resolución del contrato Nº 4600029328 aun no ha sido determinada en el espacio jurídico, y siendo así, de continuarse con el presente procedimiento, se corre el riesgo de que se emita un pronunciamiento contrario a lo resuelto en instancias judiciales, por lo que solicita la suspensión del procedimiento.</w:t>
      </w:r>
    </w:p>
    <w:p w:rsidR="00964F60" w:rsidRPr="007241EC" w:rsidRDefault="00964F60" w:rsidP="00964F60">
      <w:pPr>
        <w:ind w:left="708"/>
        <w:rPr>
          <w:rFonts w:ascii="Tahoma" w:hAnsi="Tahoma" w:cs="Tahoma"/>
          <w:sz w:val="20"/>
          <w:szCs w:val="20"/>
        </w:rPr>
      </w:pPr>
    </w:p>
    <w:p w:rsidR="00964F60" w:rsidRPr="007241EC" w:rsidRDefault="00964F60" w:rsidP="00964F60">
      <w:pPr>
        <w:numPr>
          <w:ilvl w:val="0"/>
          <w:numId w:val="34"/>
        </w:numPr>
        <w:ind w:hanging="720"/>
        <w:jc w:val="both"/>
        <w:rPr>
          <w:rFonts w:ascii="Tahoma" w:hAnsi="Tahoma" w:cs="Tahoma"/>
          <w:b/>
          <w:bCs/>
          <w:sz w:val="20"/>
          <w:szCs w:val="20"/>
        </w:rPr>
      </w:pPr>
      <w:r w:rsidRPr="007241EC">
        <w:rPr>
          <w:rFonts w:ascii="Tahoma" w:hAnsi="Tahoma" w:cs="Tahoma"/>
          <w:sz w:val="20"/>
          <w:szCs w:val="20"/>
        </w:rPr>
        <w:t>A su turno, la Entidad indicó que en su base de datos no figura notificación alguna sobre demanda de anulación contra el Laudo de fecha 20 de diciembre de 2010.</w:t>
      </w:r>
    </w:p>
    <w:p w:rsidR="00964F60" w:rsidRPr="007241EC" w:rsidRDefault="00964F60" w:rsidP="00964F60">
      <w:pPr>
        <w:ind w:left="720"/>
        <w:rPr>
          <w:rFonts w:ascii="Tahoma" w:hAnsi="Tahoma" w:cs="Tahoma"/>
          <w:b/>
          <w:bCs/>
          <w:sz w:val="20"/>
          <w:szCs w:val="20"/>
        </w:rPr>
      </w:pPr>
    </w:p>
    <w:p w:rsidR="00964F60" w:rsidRPr="007241EC" w:rsidRDefault="00964F60" w:rsidP="00964F60">
      <w:pPr>
        <w:numPr>
          <w:ilvl w:val="0"/>
          <w:numId w:val="34"/>
        </w:numPr>
        <w:ind w:hanging="720"/>
        <w:jc w:val="both"/>
        <w:rPr>
          <w:rFonts w:ascii="Tahoma" w:hAnsi="Tahoma" w:cs="Tahoma"/>
          <w:b/>
          <w:bCs/>
          <w:sz w:val="20"/>
          <w:szCs w:val="20"/>
        </w:rPr>
      </w:pPr>
      <w:r w:rsidRPr="007241EC">
        <w:rPr>
          <w:rFonts w:ascii="Tahoma" w:hAnsi="Tahoma" w:cs="Tahoma"/>
          <w:sz w:val="20"/>
          <w:szCs w:val="20"/>
        </w:rPr>
        <w:t xml:space="preserve">En atención a lo expuesto, debe tenerse en cuenta que en el numeral 2) del artículo 301º del Reglamento se ha previsto que el plazo de prescripción se suspende, entre otros motivos, por la </w:t>
      </w:r>
      <w:r w:rsidRPr="007241EC">
        <w:rPr>
          <w:rFonts w:ascii="Tahoma" w:hAnsi="Tahoma" w:cs="Tahoma"/>
          <w:b/>
          <w:bCs/>
          <w:sz w:val="20"/>
          <w:szCs w:val="20"/>
        </w:rPr>
        <w:t>tramitación de proceso</w:t>
      </w:r>
      <w:r w:rsidRPr="007241EC">
        <w:rPr>
          <w:rFonts w:ascii="Tahoma" w:hAnsi="Tahoma" w:cs="Tahoma"/>
          <w:sz w:val="20"/>
          <w:szCs w:val="20"/>
        </w:rPr>
        <w:t xml:space="preserve"> judicial o </w:t>
      </w:r>
      <w:r w:rsidRPr="007241EC">
        <w:rPr>
          <w:rFonts w:ascii="Tahoma" w:hAnsi="Tahoma" w:cs="Tahoma"/>
          <w:b/>
          <w:bCs/>
          <w:sz w:val="20"/>
          <w:szCs w:val="20"/>
        </w:rPr>
        <w:t>arbitral que sea necesario para la determinación de la responsabilidad del proveedor</w:t>
      </w:r>
      <w:r w:rsidRPr="007241EC">
        <w:rPr>
          <w:rFonts w:ascii="Tahoma" w:hAnsi="Tahoma" w:cs="Tahoma"/>
          <w:sz w:val="20"/>
          <w:szCs w:val="20"/>
        </w:rPr>
        <w:t xml:space="preserve">, postor, contratista o experto independiente, en el respectivo procedimiento administrativo sancionador, </w:t>
      </w:r>
      <w:r w:rsidRPr="007241EC">
        <w:rPr>
          <w:rFonts w:ascii="Tahoma" w:hAnsi="Tahoma" w:cs="Tahoma"/>
          <w:sz w:val="20"/>
          <w:szCs w:val="20"/>
          <w:u w:val="single"/>
        </w:rPr>
        <w:t>previa decisión de este Tribunal que así lo determine y en tanto no sea comunicado del laudo que dé termino al proceso</w:t>
      </w:r>
      <w:r w:rsidRPr="007241EC">
        <w:rPr>
          <w:rFonts w:ascii="Tahoma" w:hAnsi="Tahoma" w:cs="Tahoma"/>
          <w:sz w:val="20"/>
          <w:szCs w:val="20"/>
        </w:rPr>
        <w:t>.</w:t>
      </w:r>
    </w:p>
    <w:p w:rsidR="00964F60" w:rsidRPr="007241EC" w:rsidRDefault="00964F60" w:rsidP="00964F60">
      <w:pPr>
        <w:ind w:left="720"/>
        <w:rPr>
          <w:rFonts w:ascii="Tahoma" w:hAnsi="Tahoma" w:cs="Tahoma"/>
          <w:b/>
          <w:bCs/>
          <w:sz w:val="20"/>
          <w:szCs w:val="20"/>
        </w:rPr>
      </w:pPr>
    </w:p>
    <w:p w:rsidR="00964F60" w:rsidRPr="007241EC" w:rsidRDefault="00964F60" w:rsidP="00964F60">
      <w:pPr>
        <w:numPr>
          <w:ilvl w:val="0"/>
          <w:numId w:val="34"/>
        </w:numPr>
        <w:ind w:hanging="720"/>
        <w:jc w:val="both"/>
        <w:rPr>
          <w:rFonts w:ascii="Tahoma" w:hAnsi="Tahoma" w:cs="Tahoma"/>
          <w:b/>
          <w:bCs/>
          <w:sz w:val="20"/>
          <w:szCs w:val="20"/>
        </w:rPr>
      </w:pPr>
      <w:r w:rsidRPr="007241EC">
        <w:rPr>
          <w:rFonts w:ascii="Tahoma" w:hAnsi="Tahoma" w:cs="Tahoma"/>
          <w:sz w:val="20"/>
          <w:szCs w:val="20"/>
        </w:rPr>
        <w:t>Según consta en el propio Laudo de Derecho (Resolución Nº 16), emitido el 28 de mayo de 2010, integrado y aclarado por Resolución Nº 17 del 01 de julio del mismo año, las cuestiones sometidas a arbitraje fueron las siguientes:</w:t>
      </w:r>
    </w:p>
    <w:p w:rsidR="00964F60" w:rsidRPr="007241EC" w:rsidRDefault="00964F60" w:rsidP="00964F60">
      <w:pPr>
        <w:tabs>
          <w:tab w:val="left" w:pos="720"/>
        </w:tabs>
        <w:rPr>
          <w:rFonts w:ascii="Tahoma" w:hAnsi="Tahoma" w:cs="Tahoma"/>
          <w:sz w:val="20"/>
          <w:szCs w:val="20"/>
        </w:rPr>
      </w:pPr>
    </w:p>
    <w:p w:rsidR="00964F60" w:rsidRPr="007241EC" w:rsidRDefault="00964F60" w:rsidP="00964F60">
      <w:pPr>
        <w:pStyle w:val="Prrafodelista"/>
        <w:numPr>
          <w:ilvl w:val="0"/>
          <w:numId w:val="37"/>
        </w:numPr>
        <w:contextualSpacing w:val="0"/>
        <w:jc w:val="both"/>
        <w:rPr>
          <w:rFonts w:ascii="Tahoma" w:hAnsi="Tahoma" w:cs="Tahoma"/>
          <w:i/>
          <w:iCs/>
        </w:rPr>
      </w:pPr>
      <w:r w:rsidRPr="007241EC">
        <w:rPr>
          <w:rFonts w:ascii="Tahoma" w:hAnsi="Tahoma" w:cs="Tahoma"/>
          <w:i/>
          <w:iCs/>
        </w:rPr>
        <w:t>Determinar si corresponde o no, que el Tribunal declare la nulidad de la Resolución de Gerencia Central de Logística Nº 1033-GCL-ESSALUD-2009 que resuelve el contrato Nº 4600029328, respecto del ítem “jeringa para determinar gases en sangre”, suscrito entre Dentilab y Essalud.</w:t>
      </w:r>
    </w:p>
    <w:p w:rsidR="00964F60" w:rsidRPr="007241EC" w:rsidRDefault="00964F60" w:rsidP="00964F60">
      <w:pPr>
        <w:pStyle w:val="Prrafodelista"/>
        <w:ind w:left="1440"/>
        <w:rPr>
          <w:rFonts w:ascii="Tahoma" w:hAnsi="Tahoma" w:cs="Tahoma"/>
          <w:i/>
          <w:iCs/>
        </w:rPr>
      </w:pPr>
    </w:p>
    <w:p w:rsidR="00964F60" w:rsidRPr="007241EC" w:rsidRDefault="00964F60" w:rsidP="00964F60">
      <w:pPr>
        <w:pStyle w:val="Prrafodelista"/>
        <w:numPr>
          <w:ilvl w:val="0"/>
          <w:numId w:val="37"/>
        </w:numPr>
        <w:contextualSpacing w:val="0"/>
        <w:jc w:val="both"/>
        <w:rPr>
          <w:rFonts w:ascii="Tahoma" w:hAnsi="Tahoma" w:cs="Tahoma"/>
          <w:i/>
          <w:iCs/>
        </w:rPr>
      </w:pPr>
      <w:r w:rsidRPr="007241EC">
        <w:rPr>
          <w:rFonts w:ascii="Tahoma" w:hAnsi="Tahoma" w:cs="Tahoma"/>
          <w:i/>
          <w:iCs/>
        </w:rPr>
        <w:t>Determinar si corresponde o no, que el Tribunal disponga el internamiento de las jeringas para determinar gases en la sangre Hepatest esterilizadas con oxido de etileno.</w:t>
      </w:r>
    </w:p>
    <w:p w:rsidR="00964F60" w:rsidRPr="007241EC" w:rsidRDefault="00964F60" w:rsidP="00964F60">
      <w:pPr>
        <w:pStyle w:val="Prrafodelista"/>
        <w:rPr>
          <w:rFonts w:ascii="Tahoma" w:hAnsi="Tahoma" w:cs="Tahoma"/>
          <w:b/>
          <w:bCs/>
          <w:i/>
          <w:iCs/>
        </w:rPr>
      </w:pPr>
    </w:p>
    <w:p w:rsidR="00964F60" w:rsidRPr="007241EC" w:rsidRDefault="00964F60" w:rsidP="00964F60">
      <w:pPr>
        <w:pStyle w:val="Prrafodelista"/>
        <w:numPr>
          <w:ilvl w:val="0"/>
          <w:numId w:val="37"/>
        </w:numPr>
        <w:contextualSpacing w:val="0"/>
        <w:jc w:val="both"/>
        <w:rPr>
          <w:rFonts w:ascii="Tahoma" w:hAnsi="Tahoma" w:cs="Tahoma"/>
          <w:i/>
          <w:iCs/>
        </w:rPr>
      </w:pPr>
      <w:r w:rsidRPr="007241EC">
        <w:rPr>
          <w:rFonts w:ascii="Tahoma" w:hAnsi="Tahoma" w:cs="Tahoma"/>
          <w:i/>
          <w:iCs/>
        </w:rPr>
        <w:t>Determinar a quién corresponde asumir las costas y costos del proceso arbitral.</w:t>
      </w:r>
    </w:p>
    <w:p w:rsidR="00964F60" w:rsidRPr="007241EC" w:rsidRDefault="00964F60" w:rsidP="00964F60">
      <w:pPr>
        <w:pStyle w:val="Prrafodelista"/>
        <w:rPr>
          <w:rFonts w:ascii="Tahoma" w:hAnsi="Tahoma" w:cs="Tahoma"/>
          <w:b/>
          <w:bCs/>
        </w:rPr>
      </w:pPr>
    </w:p>
    <w:p w:rsidR="00964F60" w:rsidRPr="007241EC" w:rsidRDefault="00964F60" w:rsidP="00964F60">
      <w:pPr>
        <w:ind w:left="720"/>
        <w:rPr>
          <w:rFonts w:ascii="Tahoma" w:hAnsi="Tahoma" w:cs="Tahoma"/>
          <w:sz w:val="20"/>
          <w:szCs w:val="20"/>
        </w:rPr>
      </w:pPr>
      <w:r w:rsidRPr="007241EC">
        <w:rPr>
          <w:rFonts w:ascii="Tahoma" w:hAnsi="Tahoma" w:cs="Tahoma"/>
          <w:sz w:val="20"/>
          <w:szCs w:val="20"/>
        </w:rPr>
        <w:t xml:space="preserve">Siendo  que, con la emisión del mencionado laudo, el proceso arbitral culminó; debe entenderse que, </w:t>
      </w:r>
      <w:r w:rsidRPr="007241EC">
        <w:rPr>
          <w:rFonts w:ascii="Tahoma" w:hAnsi="Tahoma" w:cs="Tahoma"/>
          <w:b/>
          <w:bCs/>
          <w:sz w:val="20"/>
          <w:szCs w:val="20"/>
        </w:rPr>
        <w:t>actualmente no se encuentra en trámite un proceso arbitral que sea necesario para determinar la validez de la resolución del contrato, y por ende, la responsabilidad del Contratista</w:t>
      </w:r>
      <w:r w:rsidRPr="007241EC">
        <w:rPr>
          <w:rFonts w:ascii="Tahoma" w:hAnsi="Tahoma" w:cs="Tahoma"/>
          <w:sz w:val="20"/>
          <w:szCs w:val="20"/>
        </w:rPr>
        <w:t>, por lo que no se ha configurado el presupuesto de suspensión bajo análisis.</w:t>
      </w:r>
    </w:p>
    <w:p w:rsidR="00964F60" w:rsidRPr="007241EC" w:rsidRDefault="00964F60" w:rsidP="00964F60">
      <w:pPr>
        <w:ind w:left="720"/>
        <w:rPr>
          <w:rFonts w:ascii="Tahoma" w:hAnsi="Tahoma" w:cs="Tahoma"/>
          <w:b/>
          <w:bCs/>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Es importante destacar que, según lo establecido en el artículo 53 de la Ley de Contrataciones Y Adquisiciones del Estado, aprobada por Decreto Supremo Nº 083-2004-PCM, el laudo arbitral es inapelable, definitivo y obligatorio para las partes, debiendo ser remitido al OSCE para su registro, dentro del plazo que establecerá el Reglamento; y cuando corresponda, el Tribunal de Contrataciones impondrá las sanciones correspondientes.</w:t>
      </w:r>
    </w:p>
    <w:p w:rsidR="00964F60" w:rsidRPr="007241EC" w:rsidRDefault="00964F60" w:rsidP="00964F60">
      <w:pPr>
        <w:ind w:left="720"/>
        <w:rPr>
          <w:rFonts w:ascii="Tahoma" w:hAnsi="Tahoma" w:cs="Tahoma"/>
          <w:sz w:val="20"/>
          <w:szCs w:val="20"/>
        </w:rPr>
      </w:pPr>
    </w:p>
    <w:p w:rsidR="00964F60" w:rsidRPr="007241EC" w:rsidRDefault="00964F60" w:rsidP="00964F60">
      <w:pPr>
        <w:ind w:left="720"/>
        <w:jc w:val="both"/>
        <w:rPr>
          <w:rFonts w:ascii="Tahoma" w:hAnsi="Tahoma" w:cs="Tahoma"/>
          <w:sz w:val="20"/>
          <w:szCs w:val="20"/>
        </w:rPr>
      </w:pPr>
      <w:r w:rsidRPr="007241EC">
        <w:rPr>
          <w:rFonts w:ascii="Tahoma" w:hAnsi="Tahoma" w:cs="Tahoma"/>
          <w:sz w:val="20"/>
          <w:szCs w:val="20"/>
        </w:rPr>
        <w:t>En esa misma línea, el artículo 289º del Reglamento establece que el laudo es definitivo e inapelable, tiene el valor de cosa juzgada y se ejecuta como una sentencia.</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Sin perjuicio de lo expuesto, resulta pertinente destacar que tanto la Ley del Procedimiento Administrativo General, Ley N° 27444</w:t>
      </w:r>
      <w:r w:rsidRPr="007241EC">
        <w:rPr>
          <w:rStyle w:val="Refdenotaalpie"/>
          <w:rFonts w:ascii="Tahoma" w:hAnsi="Tahoma" w:cs="Tahoma"/>
          <w:sz w:val="20"/>
          <w:szCs w:val="20"/>
        </w:rPr>
        <w:footnoteReference w:id="10"/>
      </w:r>
      <w:r w:rsidRPr="007241EC">
        <w:rPr>
          <w:rFonts w:ascii="Tahoma" w:hAnsi="Tahoma" w:cs="Tahoma"/>
          <w:sz w:val="20"/>
          <w:szCs w:val="20"/>
        </w:rPr>
        <w:t xml:space="preserve"> como el Texto Único Ordenado de la Ley Orgánica del Poder Judicial</w:t>
      </w:r>
      <w:r w:rsidRPr="007241EC">
        <w:rPr>
          <w:rStyle w:val="Refdenotaalpie"/>
          <w:rFonts w:ascii="Tahoma" w:hAnsi="Tahoma" w:cs="Tahoma"/>
          <w:sz w:val="20"/>
          <w:szCs w:val="20"/>
        </w:rPr>
        <w:footnoteReference w:id="11"/>
      </w:r>
      <w:r w:rsidRPr="007241EC">
        <w:rPr>
          <w:rFonts w:ascii="Tahoma" w:hAnsi="Tahoma" w:cs="Tahoma"/>
          <w:sz w:val="20"/>
          <w:szCs w:val="20"/>
        </w:rPr>
        <w:t xml:space="preserve">, han previsto los supuestos de hecho en los cuales, existiendo conflicto de competencia con la función jurisdiccional, la Administración </w:t>
      </w:r>
      <w:r w:rsidRPr="007241EC">
        <w:rPr>
          <w:rFonts w:ascii="Tahoma" w:hAnsi="Tahoma" w:cs="Tahoma"/>
          <w:sz w:val="20"/>
          <w:szCs w:val="20"/>
        </w:rPr>
        <w:lastRenderedPageBreak/>
        <w:t xml:space="preserve">deberá inhibirse de emitir su pronunciamiento hasta que el litigio sea resuelto en sede judicial.  Ambos cuerpos normativos han contemplado la existencia de un </w:t>
      </w:r>
      <w:r w:rsidRPr="007241EC">
        <w:rPr>
          <w:rFonts w:ascii="Tahoma" w:hAnsi="Tahoma" w:cs="Tahoma"/>
          <w:b/>
          <w:bCs/>
          <w:sz w:val="20"/>
          <w:szCs w:val="20"/>
        </w:rPr>
        <w:t>litigio discutido en sede judicial necesario para determinar la responsabilidad del supuesto infractor en el respectivo procedimiento administrativo sancionador</w:t>
      </w:r>
      <w:r w:rsidRPr="007241EC">
        <w:rPr>
          <w:rFonts w:ascii="Tahoma" w:hAnsi="Tahoma" w:cs="Tahoma"/>
          <w:sz w:val="20"/>
          <w:szCs w:val="20"/>
        </w:rPr>
        <w:t xml:space="preserve">, como </w:t>
      </w:r>
      <w:r w:rsidRPr="007241EC">
        <w:rPr>
          <w:rFonts w:ascii="Tahoma" w:hAnsi="Tahoma" w:cs="Tahoma"/>
          <w:b/>
          <w:bCs/>
          <w:sz w:val="20"/>
          <w:szCs w:val="20"/>
        </w:rPr>
        <w:t>presupuesto indispensable para la abstención de la Administración</w:t>
      </w:r>
      <w:r w:rsidRPr="007241EC">
        <w:rPr>
          <w:rFonts w:ascii="Tahoma" w:hAnsi="Tahoma" w:cs="Tahoma"/>
          <w:sz w:val="20"/>
          <w:szCs w:val="20"/>
        </w:rPr>
        <w:t>.</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 xml:space="preserve">Bajo las premisas anotadas, debe  verificarse si existe un proceso judicial en trámite para determinar la responsabilidad administrativa del Contratista, en cuyo caso este Tribunal debería suspender temporalmente su pronunciamiento en tanto no sea comunicado de la sentencia judicial respectiva. </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 xml:space="preserve">Habiendo tomado conocimiento de que el Contratista ha interpuesto recurso de anulación contra el Laudo Arbitral, el cual fue admitido por la Segunda Sala Civil Especializada en lo comercial de la Corte Superior de Justicia de Lima (Expediente Nº 117-2011-0-1817-SP-CO-02); cabe indicar que la tramitación del proceso judicial en el que se determinará la validez o nulidad del laudo tampoco amerita la suspensión del presente procedimiento sancionador. </w:t>
      </w:r>
    </w:p>
    <w:p w:rsidR="00964F60" w:rsidRPr="007241EC" w:rsidRDefault="00964F60" w:rsidP="00964F60">
      <w:pPr>
        <w:ind w:left="720"/>
        <w:rPr>
          <w:rFonts w:ascii="Tahoma" w:hAnsi="Tahoma" w:cs="Tahoma"/>
          <w:sz w:val="20"/>
          <w:szCs w:val="20"/>
        </w:rPr>
      </w:pPr>
    </w:p>
    <w:p w:rsidR="00964F60" w:rsidRPr="007241EC" w:rsidRDefault="00964F60" w:rsidP="00964F60">
      <w:pPr>
        <w:ind w:left="720"/>
        <w:jc w:val="both"/>
        <w:rPr>
          <w:rFonts w:ascii="Tahoma" w:hAnsi="Tahoma" w:cs="Tahoma"/>
          <w:sz w:val="20"/>
          <w:szCs w:val="20"/>
        </w:rPr>
      </w:pPr>
      <w:r w:rsidRPr="007241EC">
        <w:rPr>
          <w:rFonts w:ascii="Tahoma" w:hAnsi="Tahoma" w:cs="Tahoma"/>
          <w:sz w:val="20"/>
          <w:szCs w:val="20"/>
        </w:rPr>
        <w:t>Y es que de conformidad con lo dispuesto en el artículo 62 de la Ley de Arbitraje, aprobada por Decreto Legislativo Nº 1071, el recurso de anulación solo tiene por objeto la revisión de la validez del laudo, estando prohibido bajo responsabilidad, pronunciarse sobre el fondo de la controversia o sobre el contenido de la decisión o calificar criterios, motivaciones o interpretaciones expuestas por el Tribunal Arbitral.</w:t>
      </w:r>
    </w:p>
    <w:p w:rsidR="00964F60" w:rsidRPr="007241EC" w:rsidRDefault="00964F60" w:rsidP="00964F60">
      <w:pPr>
        <w:ind w:left="720"/>
        <w:jc w:val="both"/>
        <w:rPr>
          <w:rFonts w:ascii="Tahoma" w:hAnsi="Tahoma" w:cs="Tahoma"/>
          <w:sz w:val="20"/>
          <w:szCs w:val="20"/>
        </w:rPr>
      </w:pPr>
    </w:p>
    <w:p w:rsidR="00964F60" w:rsidRPr="007241EC" w:rsidRDefault="00964F60" w:rsidP="00964F60">
      <w:pPr>
        <w:ind w:left="720"/>
        <w:jc w:val="both"/>
        <w:rPr>
          <w:rFonts w:ascii="Tahoma" w:hAnsi="Tahoma" w:cs="Tahoma"/>
          <w:sz w:val="20"/>
          <w:szCs w:val="20"/>
        </w:rPr>
      </w:pPr>
      <w:r w:rsidRPr="007241EC">
        <w:rPr>
          <w:rFonts w:ascii="Tahoma" w:hAnsi="Tahoma" w:cs="Tahoma"/>
          <w:sz w:val="20"/>
          <w:szCs w:val="20"/>
        </w:rPr>
        <w:t>Asimismo, de acuerdo a lo establecido en el numeral 1 del artículo 66º del Decreto Legislativo Nº 1017, la interposición del recurso de anulación no suspende la obligación de cumplimiento del laudo ni su ejecución arbitral o judicial, salvo cuando la parte que impugna el laudo solicite la suspensión y cumpla con el requisito de la garantía acordada por las partes o establecida en el reglamento arbitral aplicable. Al examinar la admisión del recurso, la Corte Superior verificará el cumplimiento del requisito y, de ser el caso, concederá la suspensión.</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Enfocados los hechos bajo esta perspectiva de análisis, este Colegiado considera que las resultas del proceso de anulación del mencionado laudo no constituyen elementos de juicio indispensables para la determinación de la responsabilidad del Contratista, por lo que este extremo de sus descargos tampoco resulta amparable.</w:t>
      </w:r>
    </w:p>
    <w:p w:rsidR="00964F60" w:rsidRPr="007241EC" w:rsidRDefault="00964F60" w:rsidP="00964F60">
      <w:pPr>
        <w:ind w:left="720"/>
        <w:rPr>
          <w:rFonts w:ascii="Tahoma" w:hAnsi="Tahoma" w:cs="Tahoma"/>
          <w:sz w:val="20"/>
          <w:szCs w:val="20"/>
        </w:rPr>
      </w:pPr>
    </w:p>
    <w:p w:rsidR="00964F60" w:rsidRPr="007241EC" w:rsidRDefault="00964F60" w:rsidP="00964F60">
      <w:pPr>
        <w:ind w:left="720"/>
        <w:rPr>
          <w:rFonts w:ascii="Tahoma" w:hAnsi="Tahoma" w:cs="Tahoma"/>
          <w:b/>
          <w:bCs/>
          <w:i/>
          <w:iCs/>
          <w:sz w:val="20"/>
          <w:szCs w:val="20"/>
        </w:rPr>
      </w:pPr>
      <w:r w:rsidRPr="007241EC">
        <w:rPr>
          <w:rFonts w:ascii="Tahoma" w:hAnsi="Tahoma" w:cs="Tahoma"/>
          <w:b/>
          <w:bCs/>
          <w:i/>
          <w:iCs/>
          <w:sz w:val="20"/>
          <w:szCs w:val="20"/>
        </w:rPr>
        <w:t>Sobre la infracción imputada</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5"/>
        </w:numPr>
        <w:tabs>
          <w:tab w:val="left" w:pos="720"/>
        </w:tabs>
        <w:jc w:val="both"/>
        <w:rPr>
          <w:rFonts w:ascii="Tahoma" w:hAnsi="Tahoma" w:cs="Tahoma"/>
          <w:b/>
          <w:bCs/>
          <w:i/>
          <w:iCs/>
          <w:sz w:val="20"/>
          <w:szCs w:val="20"/>
        </w:rPr>
      </w:pPr>
      <w:r w:rsidRPr="007241EC">
        <w:rPr>
          <w:rFonts w:ascii="Tahoma" w:hAnsi="Tahoma" w:cs="Tahoma"/>
          <w:b/>
          <w:bCs/>
          <w:i/>
          <w:iCs/>
          <w:sz w:val="20"/>
          <w:szCs w:val="20"/>
        </w:rPr>
        <w:t>Acerca del procedimiento formal seguido por la Entidad para resolver el contrato</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 xml:space="preserve">La infracción imputada establece como supuesto de hecho indispensable para su configuración, </w:t>
      </w:r>
      <w:r w:rsidRPr="007241EC">
        <w:rPr>
          <w:rFonts w:ascii="Tahoma" w:hAnsi="Tahoma" w:cs="Tahoma"/>
          <w:b/>
          <w:bCs/>
          <w:sz w:val="20"/>
          <w:szCs w:val="20"/>
        </w:rPr>
        <w:t>la resolución del contrato, orden de compra o de servicios, según corresponda, por causal atribuible al Contratista</w:t>
      </w:r>
      <w:r w:rsidRPr="007241EC">
        <w:rPr>
          <w:rFonts w:ascii="Tahoma" w:hAnsi="Tahoma" w:cs="Tahoma"/>
          <w:sz w:val="20"/>
          <w:szCs w:val="20"/>
        </w:rPr>
        <w:t>. Por tanto, resulta imprescindible verificar preliminarmente si la Entidad observó el procedimiento de resolución del vínculo contractual.</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 xml:space="preserve">El literal c) del artículo 41 de la Ley dispone que en caso de incumplimiento por parte del Contratista de alguna de sus obligaciones, que haya sido previamente observada por la Entidad, y no haya sido materia de subsanación, esta última podrá resolver el contrato, en forma total o parcial, mediante la remisión por la vía notarial del documento en el que se manifieste esta decisión y el motivo que la justifica. Dicho documento será aprobado por autoridad del mismo nivel jerárquico de aquella que haya suscrito el contrato.  El contrato queda resuelto de pleno derecho a partir de la recepción de dicha comunicación por el Contratista.  </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 xml:space="preserve">El referido procedimiento de resolución contractual ha sido previsto en el artículo 226º del Reglamento, el cual dispone que </w:t>
      </w:r>
      <w:r w:rsidRPr="007241EC">
        <w:rPr>
          <w:rFonts w:ascii="Tahoma" w:hAnsi="Tahoma" w:cs="Tahoma"/>
          <w:b/>
          <w:bCs/>
          <w:sz w:val="20"/>
          <w:szCs w:val="20"/>
        </w:rPr>
        <w:t>en caso de incumplimiento contractual, la parte afectada requerirá a la otra notarialmente para que satisfaga sus obligaciones en un plazo no mayor de cinco (5) días, bajo apercibimiento de resolver el contrato.</w:t>
      </w:r>
      <w:r w:rsidRPr="007241EC">
        <w:rPr>
          <w:rFonts w:ascii="Tahoma" w:hAnsi="Tahoma" w:cs="Tahoma"/>
          <w:sz w:val="20"/>
          <w:szCs w:val="20"/>
        </w:rPr>
        <w:t xml:space="preserve"> Dependiendo del monto contractual y de la complejidad, envergadura o sofisticación de la adquisición o contratación, la Entidad puede establecer plazos mayores, pero en ningún caso mayor a quince (15) días, plazo este último que se otorgará necesariamente en el caso de obras. </w:t>
      </w:r>
      <w:r w:rsidRPr="007241EC">
        <w:rPr>
          <w:rFonts w:ascii="Tahoma" w:hAnsi="Tahoma" w:cs="Tahoma"/>
          <w:b/>
          <w:bCs/>
          <w:sz w:val="20"/>
          <w:szCs w:val="20"/>
        </w:rPr>
        <w:t>Si vencido dicho plazo el incumplimiento continúa, la parte perjudicada resolverá el contrato en forma total o parcial, mediante carta notarial.</w:t>
      </w:r>
      <w:r w:rsidRPr="007241EC">
        <w:rPr>
          <w:rFonts w:ascii="Tahoma" w:hAnsi="Tahoma" w:cs="Tahoma"/>
          <w:sz w:val="20"/>
          <w:szCs w:val="20"/>
        </w:rPr>
        <w:t xml:space="preserve"> </w:t>
      </w:r>
      <w:r w:rsidRPr="007241EC">
        <w:rPr>
          <w:rFonts w:ascii="Tahoma" w:hAnsi="Tahoma" w:cs="Tahoma"/>
          <w:sz w:val="20"/>
          <w:szCs w:val="20"/>
          <w:lang w:val="es-ES_tradnl"/>
        </w:rPr>
        <w:t>Asimismo, el citado dispositivo reglamentario precisa que de continuar con el incumplimiento, la parte perjudicada comunicará notarialmente la resolución total o parcial del contrato.</w:t>
      </w:r>
    </w:p>
    <w:p w:rsidR="00964F60" w:rsidRPr="007241EC" w:rsidRDefault="00964F60" w:rsidP="00964F60">
      <w:pPr>
        <w:ind w:left="720"/>
        <w:rPr>
          <w:rFonts w:ascii="Tahoma" w:hAnsi="Tahoma" w:cs="Tahoma"/>
          <w:sz w:val="20"/>
          <w:szCs w:val="20"/>
        </w:rPr>
      </w:pPr>
    </w:p>
    <w:p w:rsidR="00964F60" w:rsidRPr="007241EC" w:rsidRDefault="00964F60" w:rsidP="00964F60">
      <w:pPr>
        <w:ind w:left="720"/>
        <w:rPr>
          <w:rFonts w:ascii="Tahoma" w:hAnsi="Tahoma" w:cs="Tahoma"/>
          <w:sz w:val="20"/>
          <w:szCs w:val="20"/>
        </w:rPr>
      </w:pPr>
      <w:r w:rsidRPr="007241EC">
        <w:rPr>
          <w:rFonts w:ascii="Tahoma" w:hAnsi="Tahoma" w:cs="Tahoma"/>
          <w:sz w:val="20"/>
          <w:szCs w:val="20"/>
          <w:lang w:val="es-ES_tradnl"/>
        </w:rPr>
        <w:t xml:space="preserve">El cumplimiento de este procedimiento es </w:t>
      </w:r>
      <w:r w:rsidRPr="007241EC">
        <w:rPr>
          <w:rFonts w:ascii="Tahoma" w:hAnsi="Tahoma" w:cs="Tahoma"/>
          <w:b/>
          <w:bCs/>
          <w:i/>
          <w:iCs/>
          <w:sz w:val="20"/>
          <w:szCs w:val="20"/>
          <w:lang w:val="es-ES_tradnl"/>
        </w:rPr>
        <w:t>condición sine qua non</w:t>
      </w:r>
      <w:r w:rsidRPr="007241EC">
        <w:rPr>
          <w:rFonts w:ascii="Tahoma" w:hAnsi="Tahoma" w:cs="Tahoma"/>
          <w:sz w:val="20"/>
          <w:szCs w:val="20"/>
          <w:lang w:val="es-ES_tradnl"/>
        </w:rPr>
        <w:t xml:space="preserve"> para evaluar la existencia de eventuales responsabilidades de carácter administrativo.</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A efectos de acreditar el cumplimiento del procedimiento de resolución del contrato, la Entidad ha remitido la Carta Nº 321-SGCSYAP-GA-GCL-OGA-ESSALUD-2008, notificada notarialmente el 07 de  noviembre de 2008, y la Carta Nº 2295-GCL-OGA-ESSALUD-2009, también notificada por conducto notarial el 17 de julio de 2009. A través de la primera de ellas, la Entidad requirió al Contratista el cumplimiento de sus obligaciones, mientras que mediante la segunda le remitió la Resolución de Gerencia Central de Logística Nº 1033-GCL-OGA-ESSALUD-2009, en la que dispuso la resolución del contrato.</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Por lo expuesto, la suscrita – en opinión compartida con la postura plasmada en el laudo arbitral -  que la Entidad siguió válidamente el procedimiento anteriormente detallado; correspondiendo determinar si dicha conducta resultó justificada o no, en tanto que solamente el incumplimiento que obedece a causas injustificadas imputables a los contratistas es sancionable administrativamente.</w:t>
      </w:r>
    </w:p>
    <w:p w:rsidR="00964F60" w:rsidRPr="007241EC" w:rsidRDefault="00964F60" w:rsidP="00964F60">
      <w:pPr>
        <w:tabs>
          <w:tab w:val="left" w:pos="720"/>
        </w:tabs>
        <w:ind w:left="720"/>
        <w:rPr>
          <w:rFonts w:ascii="Tahoma" w:hAnsi="Tahoma" w:cs="Tahoma"/>
          <w:sz w:val="20"/>
          <w:szCs w:val="20"/>
        </w:rPr>
      </w:pPr>
    </w:p>
    <w:p w:rsidR="00964F60" w:rsidRPr="007241EC" w:rsidRDefault="00964F60" w:rsidP="00964F60">
      <w:pPr>
        <w:numPr>
          <w:ilvl w:val="0"/>
          <w:numId w:val="35"/>
        </w:numPr>
        <w:tabs>
          <w:tab w:val="left" w:pos="720"/>
        </w:tabs>
        <w:jc w:val="both"/>
        <w:rPr>
          <w:rFonts w:ascii="Tahoma" w:hAnsi="Tahoma" w:cs="Tahoma"/>
          <w:b/>
          <w:bCs/>
          <w:i/>
          <w:iCs/>
          <w:sz w:val="20"/>
          <w:szCs w:val="20"/>
        </w:rPr>
      </w:pPr>
      <w:r w:rsidRPr="007241EC">
        <w:rPr>
          <w:rFonts w:ascii="Tahoma" w:hAnsi="Tahoma" w:cs="Tahoma"/>
          <w:b/>
          <w:bCs/>
          <w:i/>
          <w:iCs/>
          <w:sz w:val="20"/>
          <w:szCs w:val="20"/>
        </w:rPr>
        <w:t>En cuanto  al presunto incumplimiento injustificado de las obligaciones del Contratista</w:t>
      </w:r>
    </w:p>
    <w:p w:rsidR="00964F60" w:rsidRPr="007241EC" w:rsidRDefault="00964F60" w:rsidP="00964F60">
      <w:pPr>
        <w:tabs>
          <w:tab w:val="left" w:pos="720"/>
        </w:tabs>
        <w:ind w:left="216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 xml:space="preserve">El contrato constituye la fuente de obligación de las partes contratantes, la cual está constituida en el mandato legal, reglamentario, las bases integradas y la oferta ganadora, por lo que debe ser atendido tanto por el Contratista como por la Entidad, debido a que su formalización constituye una declaración de voluntad y al estar </w:t>
      </w:r>
      <w:r w:rsidRPr="007241EC">
        <w:rPr>
          <w:rFonts w:ascii="Tahoma" w:hAnsi="Tahoma" w:cs="Tahoma"/>
          <w:sz w:val="20"/>
          <w:szCs w:val="20"/>
        </w:rPr>
        <w:lastRenderedPageBreak/>
        <w:t>debidamente perfeccionado, tiene fuerza de Ley.  Por esta razón, al establecerse causales de resolución administrativa que opera por ministerio de la Ley, quien tiene la obligación de su ejecución e incumple su contenido, se somete a las penalizaciones que conlleva su inejecución.</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En ese sentido, existe la presunción legal</w:t>
      </w:r>
      <w:r w:rsidRPr="007241EC">
        <w:rPr>
          <w:rFonts w:ascii="Tahoma" w:hAnsi="Tahoma" w:cs="Tahoma"/>
          <w:sz w:val="20"/>
          <w:szCs w:val="20"/>
          <w:vertAlign w:val="superscript"/>
        </w:rPr>
        <w:footnoteReference w:id="12"/>
      </w:r>
      <w:r w:rsidRPr="007241EC">
        <w:rPr>
          <w:rFonts w:ascii="Tahoma" w:hAnsi="Tahoma" w:cs="Tahoma"/>
          <w:sz w:val="20"/>
          <w:szCs w:val="20"/>
        </w:rPr>
        <w:t xml:space="preserve"> de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  </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En su denuncia, la Entidad ha señalado que resolvió el contrato debido a que el Contratista habría incumplido las obligaciones a su cargo, a pesar de haber sido requerido para ello. Según la Entidad, dicho incumplimiento radicaría en que el Contratista pretendía entregar un producto estéril mediante el método de esterilización por oxido de metileno, cuando lo ofertado fue un método de irradiación por rayos gama.</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Al ejercer su derecho de defensa, el Contratista no señalo algún argumento que justifique su incumplimiento, sino que, se limitó a solicitar la suspensión del presente procedimiento, en virtud a que se había interpuesto de recurso de anulación contra el Laudo Arbitral.</w:t>
      </w:r>
    </w:p>
    <w:p w:rsidR="00964F60" w:rsidRPr="007241EC" w:rsidRDefault="00964F60" w:rsidP="00964F60">
      <w:pPr>
        <w:pStyle w:val="Prrafodelista"/>
        <w:rPr>
          <w:rFonts w:ascii="Tahoma" w:hAnsi="Tahoma" w:cs="Tahoma"/>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 xml:space="preserve">Teniendo en consideración que esta controversia fue sometida a arbitraje, es importante traer a colación los </w:t>
      </w:r>
      <w:r w:rsidRPr="007241EC">
        <w:rPr>
          <w:rFonts w:ascii="Tahoma" w:hAnsi="Tahoma" w:cs="Tahoma"/>
          <w:b/>
          <w:bCs/>
          <w:sz w:val="20"/>
          <w:szCs w:val="20"/>
        </w:rPr>
        <w:t>puntos controvertidos fijados</w:t>
      </w:r>
      <w:r w:rsidRPr="007241EC">
        <w:rPr>
          <w:rFonts w:ascii="Tahoma" w:hAnsi="Tahoma" w:cs="Tahoma"/>
          <w:sz w:val="20"/>
          <w:szCs w:val="20"/>
        </w:rPr>
        <w:t xml:space="preserve"> durante la sustanciación de dicho proceso:</w:t>
      </w:r>
    </w:p>
    <w:p w:rsidR="00964F60" w:rsidRPr="007241EC" w:rsidRDefault="00964F60" w:rsidP="00964F60">
      <w:pPr>
        <w:ind w:left="720"/>
        <w:rPr>
          <w:rFonts w:ascii="Tahoma" w:hAnsi="Tahoma" w:cs="Tahoma"/>
          <w:sz w:val="20"/>
          <w:szCs w:val="20"/>
        </w:rPr>
      </w:pPr>
    </w:p>
    <w:p w:rsidR="00964F60" w:rsidRPr="007241EC" w:rsidRDefault="00964F60" w:rsidP="00964F60">
      <w:pPr>
        <w:pStyle w:val="Prrafodelista"/>
        <w:numPr>
          <w:ilvl w:val="0"/>
          <w:numId w:val="38"/>
        </w:numPr>
        <w:contextualSpacing w:val="0"/>
        <w:jc w:val="both"/>
        <w:rPr>
          <w:rFonts w:ascii="Tahoma" w:hAnsi="Tahoma" w:cs="Tahoma"/>
          <w:i/>
          <w:iCs/>
        </w:rPr>
      </w:pPr>
      <w:r w:rsidRPr="007241EC">
        <w:rPr>
          <w:rFonts w:ascii="Tahoma" w:hAnsi="Tahoma" w:cs="Tahoma"/>
          <w:i/>
          <w:iCs/>
        </w:rPr>
        <w:t>Determinar si corresponde o no, que el Tribunal declare la nulidad de la Resolución de Gerencia Central de Logística Nº 1033-GCL-ESSALUD-2009 que resuelve el contrato Nº 4600029328, respecto del ítem “jeringa para determinar gases en sangre”, suscrito entre Dentilab y Essalud.</w:t>
      </w:r>
    </w:p>
    <w:p w:rsidR="00964F60" w:rsidRPr="007241EC" w:rsidRDefault="00964F60" w:rsidP="00964F60">
      <w:pPr>
        <w:pStyle w:val="Prrafodelista"/>
        <w:ind w:left="1440"/>
        <w:rPr>
          <w:rFonts w:ascii="Tahoma" w:hAnsi="Tahoma" w:cs="Tahoma"/>
          <w:i/>
          <w:iCs/>
        </w:rPr>
      </w:pPr>
    </w:p>
    <w:p w:rsidR="00964F60" w:rsidRPr="007241EC" w:rsidRDefault="00964F60" w:rsidP="00964F60">
      <w:pPr>
        <w:pStyle w:val="Prrafodelista"/>
        <w:numPr>
          <w:ilvl w:val="0"/>
          <w:numId w:val="38"/>
        </w:numPr>
        <w:contextualSpacing w:val="0"/>
        <w:jc w:val="both"/>
        <w:rPr>
          <w:rFonts w:ascii="Tahoma" w:hAnsi="Tahoma" w:cs="Tahoma"/>
          <w:i/>
          <w:iCs/>
        </w:rPr>
      </w:pPr>
      <w:r w:rsidRPr="007241EC">
        <w:rPr>
          <w:rFonts w:ascii="Tahoma" w:hAnsi="Tahoma" w:cs="Tahoma"/>
          <w:i/>
          <w:iCs/>
        </w:rPr>
        <w:t>Determinar si corresponde o no, que el Tribunal disponga el internamiento de las jeringas para determinar gases en la sangre Hepatest esterilizadas con oxido de etileno.</w:t>
      </w:r>
    </w:p>
    <w:p w:rsidR="00964F60" w:rsidRPr="007241EC" w:rsidRDefault="00964F60" w:rsidP="00964F60">
      <w:pPr>
        <w:pStyle w:val="Prrafodelista"/>
        <w:rPr>
          <w:rFonts w:ascii="Tahoma" w:hAnsi="Tahoma" w:cs="Tahoma"/>
          <w:b/>
          <w:bCs/>
          <w:i/>
          <w:iCs/>
        </w:rPr>
      </w:pPr>
    </w:p>
    <w:p w:rsidR="00964F60" w:rsidRPr="007241EC" w:rsidRDefault="00964F60" w:rsidP="00964F60">
      <w:pPr>
        <w:pStyle w:val="Prrafodelista"/>
        <w:numPr>
          <w:ilvl w:val="0"/>
          <w:numId w:val="38"/>
        </w:numPr>
        <w:contextualSpacing w:val="0"/>
        <w:jc w:val="both"/>
        <w:rPr>
          <w:rFonts w:ascii="Tahoma" w:hAnsi="Tahoma" w:cs="Tahoma"/>
          <w:i/>
          <w:iCs/>
        </w:rPr>
      </w:pPr>
      <w:r w:rsidRPr="007241EC">
        <w:rPr>
          <w:rFonts w:ascii="Tahoma" w:hAnsi="Tahoma" w:cs="Tahoma"/>
          <w:i/>
          <w:iCs/>
        </w:rPr>
        <w:t>Determinar a quién corresponde asumir las costas y costos del proceso arbitral.</w:t>
      </w:r>
    </w:p>
    <w:p w:rsidR="00964F60" w:rsidRPr="007241EC" w:rsidRDefault="00964F60" w:rsidP="00964F60">
      <w:pPr>
        <w:ind w:left="720"/>
        <w:rPr>
          <w:rFonts w:ascii="Tahoma" w:hAnsi="Tahoma" w:cs="Tahoma"/>
          <w:i/>
          <w:iCs/>
          <w:sz w:val="20"/>
          <w:szCs w:val="20"/>
        </w:rPr>
      </w:pPr>
    </w:p>
    <w:p w:rsidR="00964F60" w:rsidRPr="007241EC" w:rsidRDefault="00964F60" w:rsidP="00964F60">
      <w:pPr>
        <w:ind w:left="720"/>
        <w:rPr>
          <w:rFonts w:ascii="Tahoma" w:hAnsi="Tahoma" w:cs="Tahoma"/>
          <w:sz w:val="20"/>
          <w:szCs w:val="20"/>
        </w:rPr>
      </w:pPr>
      <w:r w:rsidRPr="007241EC">
        <w:rPr>
          <w:rFonts w:ascii="Tahoma" w:hAnsi="Tahoma" w:cs="Tahoma"/>
          <w:sz w:val="20"/>
          <w:szCs w:val="20"/>
        </w:rPr>
        <w:t xml:space="preserve">Se reseña a continuación lo indicado en el Laudo en cuanto al </w:t>
      </w:r>
      <w:r w:rsidRPr="007241EC">
        <w:rPr>
          <w:rFonts w:ascii="Tahoma" w:hAnsi="Tahoma" w:cs="Tahoma"/>
          <w:b/>
          <w:bCs/>
          <w:sz w:val="20"/>
          <w:szCs w:val="20"/>
        </w:rPr>
        <w:t>análisis del primer punto controvertido</w:t>
      </w:r>
      <w:r w:rsidRPr="007241EC">
        <w:rPr>
          <w:rFonts w:ascii="Tahoma" w:hAnsi="Tahoma" w:cs="Tahoma"/>
          <w:sz w:val="20"/>
          <w:szCs w:val="20"/>
        </w:rPr>
        <w:t>:</w:t>
      </w:r>
    </w:p>
    <w:p w:rsidR="00964F60" w:rsidRPr="007241EC" w:rsidRDefault="00964F60" w:rsidP="00964F60">
      <w:pPr>
        <w:ind w:left="720"/>
        <w:rPr>
          <w:rFonts w:ascii="Tahoma" w:hAnsi="Tahoma" w:cs="Tahoma"/>
          <w:sz w:val="20"/>
          <w:szCs w:val="20"/>
        </w:rPr>
      </w:pPr>
    </w:p>
    <w:p w:rsidR="00964F60" w:rsidRPr="007241EC" w:rsidRDefault="00964F60" w:rsidP="00964F60">
      <w:pPr>
        <w:ind w:left="1416"/>
        <w:jc w:val="both"/>
        <w:rPr>
          <w:rFonts w:ascii="Tahoma" w:hAnsi="Tahoma" w:cs="Tahoma"/>
          <w:i/>
          <w:iCs/>
          <w:sz w:val="20"/>
          <w:szCs w:val="20"/>
        </w:rPr>
      </w:pPr>
      <w:r w:rsidRPr="007241EC">
        <w:rPr>
          <w:rFonts w:ascii="Tahoma" w:hAnsi="Tahoma" w:cs="Tahoma"/>
          <w:i/>
          <w:iCs/>
          <w:sz w:val="20"/>
          <w:szCs w:val="20"/>
        </w:rPr>
        <w:lastRenderedPageBreak/>
        <w:t xml:space="preserve">(…) Teniendo en cuenta cuales son las causales para resolver el contrato y el procedimiento que se debe seguir para tal efecto, según lo establecido en las normas anteriormente citadas, podemos señalar que, de los documentos que obran como anexos de la demanda, el Tribunal arbitral llega a determinar que ESSALUD cumplió con los requisitito esenciales de forma para la validez de la resolución del contrato (…) </w:t>
      </w:r>
    </w:p>
    <w:p w:rsidR="00964F60" w:rsidRPr="007241EC" w:rsidRDefault="00964F60" w:rsidP="00964F60">
      <w:pPr>
        <w:ind w:left="1416"/>
        <w:jc w:val="both"/>
        <w:rPr>
          <w:rFonts w:ascii="Tahoma" w:hAnsi="Tahoma" w:cs="Tahoma"/>
          <w:i/>
          <w:iCs/>
          <w:sz w:val="20"/>
          <w:szCs w:val="20"/>
        </w:rPr>
      </w:pPr>
    </w:p>
    <w:p w:rsidR="00964F60" w:rsidRPr="007241EC" w:rsidRDefault="00964F60" w:rsidP="00964F60">
      <w:pPr>
        <w:ind w:left="1416"/>
        <w:jc w:val="both"/>
        <w:rPr>
          <w:rFonts w:ascii="Tahoma" w:hAnsi="Tahoma" w:cs="Tahoma"/>
          <w:i/>
          <w:iCs/>
          <w:sz w:val="20"/>
          <w:szCs w:val="20"/>
        </w:rPr>
      </w:pPr>
      <w:r w:rsidRPr="007241EC">
        <w:rPr>
          <w:rFonts w:ascii="Tahoma" w:hAnsi="Tahoma" w:cs="Tahoma"/>
          <w:i/>
          <w:iCs/>
          <w:sz w:val="20"/>
          <w:szCs w:val="20"/>
        </w:rPr>
        <w:t>Corresponde ahora, verificar si se satisfacen los requisitos de fondo necesarios para resolver válidamente el contrato, esto es, si DENTILAB incumplió sus obligaciones contractuales, para lo cual se procede a verificar que obligaciones contrajo el contratista al suscribir el contrato.</w:t>
      </w:r>
    </w:p>
    <w:p w:rsidR="00964F60" w:rsidRPr="007241EC" w:rsidRDefault="00964F60" w:rsidP="00964F60">
      <w:pPr>
        <w:ind w:left="1416"/>
        <w:jc w:val="both"/>
        <w:rPr>
          <w:rFonts w:ascii="Tahoma" w:hAnsi="Tahoma" w:cs="Tahoma"/>
          <w:i/>
          <w:iCs/>
          <w:sz w:val="20"/>
          <w:szCs w:val="20"/>
        </w:rPr>
      </w:pPr>
      <w:r w:rsidRPr="007241EC">
        <w:rPr>
          <w:rFonts w:ascii="Tahoma" w:hAnsi="Tahoma" w:cs="Tahoma"/>
          <w:i/>
          <w:iCs/>
          <w:sz w:val="20"/>
          <w:szCs w:val="20"/>
        </w:rPr>
        <w:t>La Cláusula Cuarta del contrato Nº 4600029328, ítem Nº 18, suscrito entre DENTILAB y ESSALUD, señala expresamente cual es el contenido del contrato: “El presente contrato está conformado por las bases integradas, la oferta ganadora y los documentos derivados del proceso de selección que establezcan las obligaciones entre partes.</w:t>
      </w:r>
    </w:p>
    <w:p w:rsidR="00964F60" w:rsidRPr="007241EC" w:rsidRDefault="00964F60" w:rsidP="00964F60">
      <w:pPr>
        <w:ind w:left="1416"/>
        <w:jc w:val="both"/>
        <w:rPr>
          <w:rFonts w:ascii="Tahoma" w:hAnsi="Tahoma" w:cs="Tahoma"/>
          <w:i/>
          <w:iCs/>
          <w:sz w:val="20"/>
          <w:szCs w:val="20"/>
        </w:rPr>
      </w:pPr>
    </w:p>
    <w:p w:rsidR="00964F60" w:rsidRPr="007241EC" w:rsidRDefault="00964F60" w:rsidP="00964F60">
      <w:pPr>
        <w:ind w:left="1416"/>
        <w:jc w:val="both"/>
        <w:rPr>
          <w:rFonts w:ascii="Tahoma" w:hAnsi="Tahoma" w:cs="Tahoma"/>
          <w:i/>
          <w:iCs/>
          <w:sz w:val="20"/>
          <w:szCs w:val="20"/>
        </w:rPr>
      </w:pPr>
      <w:r w:rsidRPr="007241EC">
        <w:rPr>
          <w:rFonts w:ascii="Tahoma" w:hAnsi="Tahoma" w:cs="Tahoma"/>
          <w:i/>
          <w:iCs/>
          <w:sz w:val="20"/>
          <w:szCs w:val="20"/>
        </w:rPr>
        <w:t xml:space="preserve">Las bases integradas de la Licitación Pública y la oferta ganadora , establecen que si bien la prestación a cumplir era el suministro de material médico, “jeringas para determinar gases en sangre”, se aceptaban que fueran esterilizados, según las bases mediante el método de Oxido de Etileno (ISO 11135) o por el método de Rayos Gama (ISO 1137), </w:t>
      </w:r>
      <w:r w:rsidRPr="007241EC">
        <w:rPr>
          <w:rFonts w:ascii="Tahoma" w:hAnsi="Tahoma" w:cs="Tahoma"/>
          <w:b/>
          <w:bCs/>
          <w:i/>
          <w:iCs/>
          <w:sz w:val="20"/>
          <w:szCs w:val="20"/>
        </w:rPr>
        <w:t>al momento de presentar su propuesta DENTILAB DEL PERU S.R.L. ofertó realizar la esterilización de sus productos mediante el método de Rayos gama (ISO 1137) , oferta que resultó ganadora y con la que se firmó el contrato.</w:t>
      </w:r>
    </w:p>
    <w:p w:rsidR="00964F60" w:rsidRPr="007241EC" w:rsidRDefault="00964F60" w:rsidP="00964F60">
      <w:pPr>
        <w:ind w:left="1416"/>
        <w:jc w:val="both"/>
        <w:rPr>
          <w:rFonts w:ascii="Tahoma" w:hAnsi="Tahoma" w:cs="Tahoma"/>
          <w:i/>
          <w:iCs/>
          <w:sz w:val="20"/>
          <w:szCs w:val="20"/>
        </w:rPr>
      </w:pPr>
    </w:p>
    <w:p w:rsidR="00964F60" w:rsidRPr="007241EC" w:rsidRDefault="00964F60" w:rsidP="00964F60">
      <w:pPr>
        <w:ind w:left="1416"/>
        <w:jc w:val="both"/>
        <w:rPr>
          <w:rFonts w:ascii="Tahoma" w:hAnsi="Tahoma" w:cs="Tahoma"/>
          <w:i/>
          <w:iCs/>
          <w:sz w:val="20"/>
          <w:szCs w:val="20"/>
        </w:rPr>
      </w:pPr>
      <w:r w:rsidRPr="007241EC">
        <w:rPr>
          <w:rFonts w:ascii="Tahoma" w:hAnsi="Tahoma" w:cs="Tahoma"/>
          <w:b/>
          <w:bCs/>
          <w:i/>
          <w:iCs/>
          <w:sz w:val="20"/>
          <w:szCs w:val="20"/>
        </w:rPr>
        <w:t>En ese sentido, la obligación contractual que asumiría DENTILAB DEL PERU S.R.L. seria suministrar jeringas para determinar gases en sangre debidamente esterilizados, mediante el procedimiento de Rayos Gama (ISO 11137)</w:t>
      </w:r>
      <w:r w:rsidRPr="007241EC">
        <w:rPr>
          <w:rFonts w:ascii="Tahoma" w:hAnsi="Tahoma" w:cs="Tahoma"/>
          <w:i/>
          <w:iCs/>
          <w:sz w:val="20"/>
          <w:szCs w:val="20"/>
        </w:rPr>
        <w:t>. El contratista debía cumplir lo pactado  salvo la existencia de causales no atribuibles reguladas en el artículo 1315 del Código Civil, que regula el caso fortuito y fuerza mayor.</w:t>
      </w:r>
    </w:p>
    <w:p w:rsidR="00964F60" w:rsidRPr="007241EC" w:rsidRDefault="00964F60" w:rsidP="00964F60">
      <w:pPr>
        <w:ind w:left="1416"/>
        <w:jc w:val="both"/>
        <w:rPr>
          <w:rFonts w:ascii="Tahoma" w:hAnsi="Tahoma" w:cs="Tahoma"/>
          <w:i/>
          <w:iCs/>
          <w:sz w:val="20"/>
          <w:szCs w:val="20"/>
        </w:rPr>
      </w:pPr>
    </w:p>
    <w:p w:rsidR="00964F60" w:rsidRPr="007241EC" w:rsidRDefault="00964F60" w:rsidP="00964F60">
      <w:pPr>
        <w:ind w:left="1416"/>
        <w:jc w:val="both"/>
        <w:rPr>
          <w:rFonts w:ascii="Tahoma" w:hAnsi="Tahoma" w:cs="Tahoma"/>
          <w:i/>
          <w:iCs/>
          <w:sz w:val="20"/>
          <w:szCs w:val="20"/>
        </w:rPr>
      </w:pPr>
      <w:r w:rsidRPr="007241EC">
        <w:rPr>
          <w:rFonts w:ascii="Tahoma" w:hAnsi="Tahoma" w:cs="Tahoma"/>
          <w:i/>
          <w:iCs/>
          <w:sz w:val="20"/>
          <w:szCs w:val="20"/>
        </w:rPr>
        <w:t xml:space="preserve">Vemos del Expediente que DENTILAB DEL PERU S.R.L. manifestó de alguna manera no poder cumplir con lo ofrecido, por motivo de haberse presentado un caso fortuito, y ofreció entregar el material médico esterilizado vía oxido de etileno. </w:t>
      </w:r>
    </w:p>
    <w:p w:rsidR="00964F60" w:rsidRPr="007241EC" w:rsidRDefault="00964F60" w:rsidP="00964F60">
      <w:pPr>
        <w:ind w:left="1416"/>
        <w:jc w:val="both"/>
        <w:rPr>
          <w:rFonts w:ascii="Tahoma" w:hAnsi="Tahoma" w:cs="Tahoma"/>
          <w:i/>
          <w:iCs/>
          <w:sz w:val="20"/>
          <w:szCs w:val="20"/>
        </w:rPr>
      </w:pPr>
    </w:p>
    <w:p w:rsidR="00964F60" w:rsidRPr="007241EC" w:rsidRDefault="00964F60" w:rsidP="00964F60">
      <w:pPr>
        <w:ind w:left="1416"/>
        <w:jc w:val="both"/>
        <w:rPr>
          <w:rFonts w:ascii="Tahoma" w:hAnsi="Tahoma" w:cs="Tahoma"/>
          <w:i/>
          <w:iCs/>
          <w:sz w:val="20"/>
          <w:szCs w:val="20"/>
        </w:rPr>
      </w:pPr>
      <w:r w:rsidRPr="007241EC">
        <w:rPr>
          <w:rFonts w:ascii="Tahoma" w:hAnsi="Tahoma" w:cs="Tahoma"/>
          <w:i/>
          <w:iCs/>
          <w:sz w:val="20"/>
          <w:szCs w:val="20"/>
        </w:rPr>
        <w:t xml:space="preserve">(…) De la revisión a los documentos, no se ha podido acreditar que el incumplimiento de la prestación sea por causa atribuida a un caso fortuito o fuerza mayor, pues no califica como extraordinario que la empresa INMUNE atienda determinada cantidad de requerimiento de servicios y por ello, se haya visto imposibilitado de cumplir con esterilización vía rayos gama; es más si el contratista conocía que la empresa INMUNE era la única en el Perú que brindaba este servicio de esterilización mediante el método de rayos gama, pues DENTILAB DEL PERU, debió prever no quedarse sin atención durante el periodo </w:t>
      </w:r>
      <w:r w:rsidRPr="007241EC">
        <w:rPr>
          <w:rFonts w:ascii="Tahoma" w:hAnsi="Tahoma" w:cs="Tahoma"/>
          <w:i/>
          <w:iCs/>
          <w:sz w:val="20"/>
          <w:szCs w:val="20"/>
        </w:rPr>
        <w:lastRenderedPageBreak/>
        <w:t>de ejecución del contrato; en ese sentido, tampoco califica este incumplimiento como imprevisible.</w:t>
      </w:r>
    </w:p>
    <w:p w:rsidR="00964F60" w:rsidRPr="007241EC" w:rsidRDefault="00964F60" w:rsidP="00964F60">
      <w:pPr>
        <w:ind w:left="1416"/>
        <w:jc w:val="both"/>
        <w:rPr>
          <w:rFonts w:ascii="Tahoma" w:hAnsi="Tahoma" w:cs="Tahoma"/>
          <w:i/>
          <w:iCs/>
          <w:sz w:val="20"/>
          <w:szCs w:val="20"/>
        </w:rPr>
      </w:pPr>
    </w:p>
    <w:p w:rsidR="00964F60" w:rsidRPr="007241EC" w:rsidRDefault="00964F60" w:rsidP="00964F60">
      <w:pPr>
        <w:ind w:left="1416"/>
        <w:jc w:val="both"/>
        <w:rPr>
          <w:rFonts w:ascii="Tahoma" w:hAnsi="Tahoma" w:cs="Tahoma"/>
          <w:i/>
          <w:iCs/>
          <w:sz w:val="20"/>
          <w:szCs w:val="20"/>
        </w:rPr>
      </w:pPr>
      <w:r w:rsidRPr="007241EC">
        <w:rPr>
          <w:rFonts w:ascii="Tahoma" w:hAnsi="Tahoma" w:cs="Tahoma"/>
          <w:i/>
          <w:iCs/>
          <w:sz w:val="20"/>
          <w:szCs w:val="20"/>
        </w:rPr>
        <w:t>En efecto, si se pudo haber previsto una situación como la descrita anteriormente, habiendo celebrado DENTILAB DEL PERU S.R.L. algún contrato con INMUNE, en donde esta última se obligaría a prestar servicios durante el periodo que se requiere, ese hubiera sido el actuar diligente, situación que no ha sido acreditada con la sola presentación de una proforma y la carta Nº 034-08-GG-INMUNE S.A., en la que INMUNE manifiesta su negativa a atender el servicio de esterilización.</w:t>
      </w:r>
    </w:p>
    <w:p w:rsidR="00964F60" w:rsidRPr="007241EC" w:rsidRDefault="00964F60" w:rsidP="00964F60">
      <w:pPr>
        <w:ind w:left="1416"/>
        <w:jc w:val="both"/>
        <w:rPr>
          <w:rFonts w:ascii="Tahoma" w:hAnsi="Tahoma" w:cs="Tahoma"/>
          <w:i/>
          <w:iCs/>
          <w:sz w:val="20"/>
          <w:szCs w:val="20"/>
        </w:rPr>
      </w:pPr>
    </w:p>
    <w:p w:rsidR="00964F60" w:rsidRPr="007241EC" w:rsidRDefault="00964F60" w:rsidP="00964F60">
      <w:pPr>
        <w:ind w:left="1416"/>
        <w:jc w:val="both"/>
        <w:rPr>
          <w:rFonts w:ascii="Tahoma" w:hAnsi="Tahoma" w:cs="Tahoma"/>
          <w:b/>
          <w:bCs/>
          <w:i/>
          <w:iCs/>
          <w:sz w:val="20"/>
          <w:szCs w:val="20"/>
        </w:rPr>
      </w:pPr>
      <w:r w:rsidRPr="007241EC">
        <w:rPr>
          <w:rFonts w:ascii="Tahoma" w:hAnsi="Tahoma" w:cs="Tahoma"/>
          <w:b/>
          <w:bCs/>
          <w:i/>
          <w:iCs/>
          <w:sz w:val="20"/>
          <w:szCs w:val="20"/>
        </w:rPr>
        <w:t xml:space="preserve">En consecuencia, si existió un incumplimiento de lo ofrecido por parte del contratista, por ende, se concluye que la Entidad ha demostrado la causa justificada para la resolución del contrato, esto es el incumplimiento de las obligaciones contractuales </w:t>
      </w:r>
    </w:p>
    <w:p w:rsidR="00964F60" w:rsidRPr="007241EC" w:rsidRDefault="00964F60" w:rsidP="00964F60">
      <w:pPr>
        <w:ind w:left="1416"/>
        <w:rPr>
          <w:rFonts w:ascii="Tahoma" w:hAnsi="Tahoma" w:cs="Tahoma"/>
          <w:i/>
          <w:iCs/>
          <w:sz w:val="20"/>
          <w:szCs w:val="20"/>
        </w:rPr>
      </w:pPr>
    </w:p>
    <w:p w:rsidR="00964F60" w:rsidRPr="007241EC" w:rsidRDefault="00964F60" w:rsidP="00964F60">
      <w:pPr>
        <w:ind w:left="720"/>
        <w:jc w:val="both"/>
        <w:rPr>
          <w:rFonts w:ascii="Tahoma" w:hAnsi="Tahoma" w:cs="Tahoma"/>
          <w:sz w:val="20"/>
          <w:szCs w:val="20"/>
        </w:rPr>
      </w:pPr>
      <w:r w:rsidRPr="007241EC">
        <w:rPr>
          <w:rFonts w:ascii="Tahoma" w:hAnsi="Tahoma" w:cs="Tahoma"/>
          <w:sz w:val="20"/>
          <w:szCs w:val="20"/>
        </w:rPr>
        <w:t xml:space="preserve">Respecto al </w:t>
      </w:r>
      <w:r w:rsidRPr="007241EC">
        <w:rPr>
          <w:rFonts w:ascii="Tahoma" w:hAnsi="Tahoma" w:cs="Tahoma"/>
          <w:b/>
          <w:bCs/>
          <w:sz w:val="20"/>
          <w:szCs w:val="20"/>
        </w:rPr>
        <w:t>segundo punto controvertido</w:t>
      </w:r>
      <w:r w:rsidRPr="007241EC">
        <w:rPr>
          <w:rFonts w:ascii="Tahoma" w:hAnsi="Tahoma" w:cs="Tahoma"/>
          <w:sz w:val="20"/>
          <w:szCs w:val="20"/>
        </w:rPr>
        <w:t xml:space="preserve"> se precisó lo siguiente:</w:t>
      </w:r>
    </w:p>
    <w:p w:rsidR="00964F60" w:rsidRPr="007241EC" w:rsidRDefault="00964F60" w:rsidP="00964F60">
      <w:pPr>
        <w:ind w:left="720"/>
        <w:jc w:val="both"/>
        <w:rPr>
          <w:rFonts w:ascii="Tahoma" w:hAnsi="Tahoma" w:cs="Tahoma"/>
          <w:sz w:val="20"/>
          <w:szCs w:val="20"/>
        </w:rPr>
      </w:pPr>
    </w:p>
    <w:p w:rsidR="00964F60" w:rsidRPr="007241EC" w:rsidRDefault="00964F60" w:rsidP="00964F60">
      <w:pPr>
        <w:ind w:left="1440"/>
        <w:jc w:val="both"/>
        <w:rPr>
          <w:rFonts w:ascii="Tahoma" w:hAnsi="Tahoma" w:cs="Tahoma"/>
          <w:i/>
          <w:iCs/>
          <w:sz w:val="20"/>
          <w:szCs w:val="20"/>
        </w:rPr>
      </w:pPr>
      <w:r w:rsidRPr="007241EC">
        <w:rPr>
          <w:rFonts w:ascii="Tahoma" w:hAnsi="Tahoma" w:cs="Tahoma"/>
          <w:i/>
          <w:iCs/>
          <w:sz w:val="20"/>
          <w:szCs w:val="20"/>
        </w:rPr>
        <w:t>(…) Resulta ser accesoria a la primera pretensión, por lo que habiéndose concluido en el análisis del punto controvertido precedente que debe desestimarse la primera pretensión principal, carece de objeto analizar la procedencia de esta pretensión invocada por la contratista demandante</w:t>
      </w:r>
      <w:r w:rsidRPr="007241EC">
        <w:rPr>
          <w:rFonts w:ascii="Tahoma" w:hAnsi="Tahoma" w:cs="Tahoma"/>
          <w:b/>
          <w:bCs/>
          <w:i/>
          <w:iCs/>
          <w:sz w:val="20"/>
          <w:szCs w:val="20"/>
        </w:rPr>
        <w:t>.</w:t>
      </w:r>
    </w:p>
    <w:p w:rsidR="00964F60" w:rsidRPr="007241EC" w:rsidRDefault="00964F60" w:rsidP="00964F60">
      <w:pPr>
        <w:ind w:left="720"/>
        <w:jc w:val="both"/>
        <w:rPr>
          <w:rFonts w:ascii="Tahoma" w:hAnsi="Tahoma" w:cs="Tahoma"/>
          <w:sz w:val="20"/>
          <w:szCs w:val="20"/>
        </w:rPr>
      </w:pPr>
    </w:p>
    <w:p w:rsidR="00964F60" w:rsidRPr="007241EC" w:rsidRDefault="00964F60" w:rsidP="00964F60">
      <w:pPr>
        <w:ind w:left="720"/>
        <w:jc w:val="both"/>
        <w:rPr>
          <w:rFonts w:ascii="Tahoma" w:hAnsi="Tahoma" w:cs="Tahoma"/>
          <w:sz w:val="20"/>
          <w:szCs w:val="20"/>
        </w:rPr>
      </w:pPr>
      <w:r w:rsidRPr="007241EC">
        <w:rPr>
          <w:rFonts w:ascii="Tahoma" w:hAnsi="Tahoma" w:cs="Tahoma"/>
          <w:sz w:val="20"/>
          <w:szCs w:val="20"/>
        </w:rPr>
        <w:t xml:space="preserve">En el análisis del </w:t>
      </w:r>
      <w:r w:rsidRPr="007241EC">
        <w:rPr>
          <w:rFonts w:ascii="Tahoma" w:hAnsi="Tahoma" w:cs="Tahoma"/>
          <w:b/>
          <w:bCs/>
          <w:sz w:val="20"/>
          <w:szCs w:val="20"/>
        </w:rPr>
        <w:t>tercer punto controvertido</w:t>
      </w:r>
      <w:r w:rsidRPr="007241EC">
        <w:rPr>
          <w:rFonts w:ascii="Tahoma" w:hAnsi="Tahoma" w:cs="Tahoma"/>
          <w:sz w:val="20"/>
          <w:szCs w:val="20"/>
        </w:rPr>
        <w:t xml:space="preserve"> se determinó lo siguiente:</w:t>
      </w:r>
    </w:p>
    <w:p w:rsidR="00964F60" w:rsidRPr="007241EC" w:rsidRDefault="00964F60" w:rsidP="00964F60">
      <w:pPr>
        <w:ind w:left="720"/>
        <w:jc w:val="both"/>
        <w:rPr>
          <w:rFonts w:ascii="Tahoma" w:hAnsi="Tahoma" w:cs="Tahoma"/>
          <w:sz w:val="20"/>
          <w:szCs w:val="20"/>
        </w:rPr>
      </w:pPr>
    </w:p>
    <w:p w:rsidR="00964F60" w:rsidRPr="007241EC" w:rsidRDefault="00964F60" w:rsidP="00964F60">
      <w:pPr>
        <w:ind w:left="1410"/>
        <w:jc w:val="both"/>
        <w:rPr>
          <w:rFonts w:ascii="Tahoma" w:hAnsi="Tahoma" w:cs="Tahoma"/>
          <w:i/>
          <w:iCs/>
          <w:sz w:val="20"/>
          <w:szCs w:val="20"/>
        </w:rPr>
      </w:pPr>
      <w:r w:rsidRPr="007241EC">
        <w:rPr>
          <w:rFonts w:ascii="Tahoma" w:hAnsi="Tahoma" w:cs="Tahoma"/>
          <w:i/>
          <w:iCs/>
          <w:sz w:val="20"/>
          <w:szCs w:val="20"/>
        </w:rPr>
        <w:t>(…) Este colegiado considera que ambas partes han seguido la secuela del proceso arbitral, razón por la cual en aplicación del principio de equidad ambos deberán asumir las costas y costos del presente proceso arbitral en forma equitativa.</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En ese contexto y de acuerdo a la opinión plasmada en el citado laudo, que la suscrita de este voto comparte, se concluye que lo argumentado por el Contratista no justifica válidamente la inejecución de sus obligaciones, toda vez que aquél es responsable por la diligencia que debió haber asumido para satisfacer las necesidades de la Entidad e internar los bienes según lo ofertado; razón por la cual, corresponde imponerle sanción administrativa respecto de los hechos imputados en su contra.</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lang w:val="es-ES_tradnl"/>
        </w:rPr>
        <w:t xml:space="preserve">En relación a la graduación de la sanción imponible, el artículo 237º del Reglamento establece que los postores que den lugar a la resolución del contrato serán sancionados con inhabilitación temporal para contratar con el Estado por un periodo no menor de uno (1) año ni mayor de tres (3) años, </w:t>
      </w:r>
      <w:r w:rsidRPr="007241EC">
        <w:rPr>
          <w:rFonts w:ascii="Tahoma" w:hAnsi="Tahoma" w:cs="Tahoma"/>
          <w:sz w:val="20"/>
          <w:szCs w:val="20"/>
          <w:lang w:val="es-MX"/>
        </w:rPr>
        <w:t xml:space="preserve">conforme a los criterios </w:t>
      </w:r>
      <w:r w:rsidRPr="007241EC">
        <w:rPr>
          <w:rFonts w:ascii="Tahoma" w:hAnsi="Tahoma" w:cs="Tahoma"/>
          <w:sz w:val="20"/>
          <w:szCs w:val="20"/>
          <w:lang w:val="es-ES_tradnl"/>
        </w:rPr>
        <w:t>para la determinación gradual de la sanción previstos en el artículo 245 del Reglamento</w:t>
      </w:r>
      <w:r w:rsidRPr="007241EC">
        <w:rPr>
          <w:rFonts w:ascii="Tahoma" w:hAnsi="Tahoma" w:cs="Tahoma"/>
          <w:sz w:val="20"/>
          <w:szCs w:val="20"/>
          <w:vertAlign w:val="superscript"/>
          <w:lang w:val="es-ES_tradnl"/>
        </w:rPr>
        <w:footnoteReference w:id="13"/>
      </w:r>
      <w:r w:rsidRPr="007241EC">
        <w:rPr>
          <w:rFonts w:ascii="Tahoma" w:hAnsi="Tahoma" w:cs="Tahoma"/>
          <w:sz w:val="20"/>
          <w:szCs w:val="20"/>
          <w:lang w:val="es-ES_tradnl"/>
        </w:rPr>
        <w:t>.</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Bajo las premisas anotadas debe considerarse la naturaleza de la infracción que, en este caso, obedece a una cuestión de falta de responsabilidad y diligencia en el deber del Contratista al entregar los bienes.</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Adicionalmente, en lo que atañe a la conducta procesal del infractor durante la sustanciación del presente procedimiento administrativo sancionador, es necesario tener presente que el Contratista se ha apersonado a la instancia y presentado sus descargos; sin embargo no ha reconocido la comisión de la infracción.</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En el mismo sentido, es necesario que este Tribunal preste atención al daño causado por el infractor.  Así, debe tenerse en cuenta que la conducta omisiva del Contratista reviste de una considerable gravedad en la medida en que desde el momento en que se asumió un compromiso contractual frente a la Entidad, aquél se obligó a cumplir cabalmente con lo ofrecido, toda vez que es conocido que ante un eventual incumplimiento se retrasaría el cumplimiento de las metas institucionales de la Entidad en agravio de intereses de carácter público.</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Otro aspecto relevante a considerar es que el Contratista no ha sido anteriormente inhabilitado en sus derechos de participar en procesos de selección ni contratar con el Estado.</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Tampoco puede dejar de valorarse las circunstancias en las que se suscitaron los hechos, particularmente en lo que respecta al monto del contrato incumplido (S/. 1 984,948.00).</w:t>
      </w:r>
    </w:p>
    <w:p w:rsidR="00964F60" w:rsidRPr="007241EC" w:rsidRDefault="00964F60" w:rsidP="00964F60">
      <w:pPr>
        <w:ind w:left="720"/>
        <w:rPr>
          <w:rFonts w:ascii="Tahoma" w:hAnsi="Tahoma" w:cs="Tahoma"/>
          <w:sz w:val="20"/>
          <w:szCs w:val="20"/>
        </w:rPr>
      </w:pPr>
    </w:p>
    <w:p w:rsidR="00964F60" w:rsidRPr="007241EC" w:rsidRDefault="00964F60" w:rsidP="00964F60">
      <w:pPr>
        <w:numPr>
          <w:ilvl w:val="0"/>
          <w:numId w:val="34"/>
        </w:numPr>
        <w:tabs>
          <w:tab w:val="left" w:pos="720"/>
        </w:tabs>
        <w:ind w:hanging="720"/>
        <w:jc w:val="both"/>
        <w:rPr>
          <w:rFonts w:ascii="Tahoma" w:hAnsi="Tahoma" w:cs="Tahoma"/>
          <w:sz w:val="20"/>
          <w:szCs w:val="20"/>
        </w:rPr>
      </w:pPr>
      <w:r w:rsidRPr="007241EC">
        <w:rPr>
          <w:rFonts w:ascii="Tahoma" w:hAnsi="Tahoma" w:cs="Tahoma"/>
          <w:sz w:val="20"/>
          <w:szCs w:val="20"/>
        </w:rPr>
        <w:t>Consecuentemente, en virtud a los criterios expuestos, este Colegiado considera que corresponde imponer al Contratista una sanción equivalente a doce (12) meses de inhabilitación temporal para participar en procesos de selección y para contratar con el Estado.</w:t>
      </w:r>
    </w:p>
    <w:p w:rsidR="00964F60" w:rsidRPr="007241EC" w:rsidRDefault="00964F60" w:rsidP="00964F60">
      <w:pPr>
        <w:ind w:left="720"/>
        <w:rPr>
          <w:rFonts w:ascii="Tahoma" w:hAnsi="Tahoma" w:cs="Tahoma"/>
          <w:sz w:val="20"/>
          <w:szCs w:val="20"/>
        </w:rPr>
      </w:pPr>
    </w:p>
    <w:p w:rsidR="00964F60" w:rsidRPr="007241EC" w:rsidRDefault="00964F60" w:rsidP="00964F60">
      <w:pPr>
        <w:tabs>
          <w:tab w:val="num" w:pos="720"/>
        </w:tabs>
        <w:ind w:left="720" w:hanging="360"/>
        <w:rPr>
          <w:rFonts w:ascii="Tahoma" w:hAnsi="Tahoma" w:cs="Tahoma"/>
          <w:sz w:val="20"/>
          <w:szCs w:val="20"/>
        </w:rPr>
      </w:pPr>
      <w:r w:rsidRPr="007241EC">
        <w:rPr>
          <w:rFonts w:ascii="Tahoma" w:hAnsi="Tahoma" w:cs="Tahoma"/>
          <w:sz w:val="20"/>
          <w:szCs w:val="20"/>
        </w:rPr>
        <w:t>En razón de lo expuesto, la Vocal Ponente propone al Tribunal:</w:t>
      </w:r>
    </w:p>
    <w:p w:rsidR="00964F60" w:rsidRPr="007241EC" w:rsidRDefault="00964F60" w:rsidP="00964F60">
      <w:pPr>
        <w:rPr>
          <w:rFonts w:ascii="Tahoma" w:hAnsi="Tahoma" w:cs="Tahoma"/>
          <w:b/>
          <w:bCs/>
          <w:sz w:val="20"/>
          <w:szCs w:val="20"/>
        </w:rPr>
      </w:pPr>
    </w:p>
    <w:p w:rsidR="00964F60" w:rsidRPr="007241EC" w:rsidRDefault="00964F60" w:rsidP="00964F60">
      <w:pPr>
        <w:numPr>
          <w:ilvl w:val="0"/>
          <w:numId w:val="39"/>
        </w:numPr>
        <w:tabs>
          <w:tab w:val="num" w:pos="567"/>
        </w:tabs>
        <w:ind w:left="567" w:hanging="567"/>
        <w:jc w:val="both"/>
        <w:rPr>
          <w:rFonts w:ascii="Tahoma" w:hAnsi="Tahoma" w:cs="Tahoma"/>
          <w:sz w:val="20"/>
          <w:szCs w:val="20"/>
        </w:rPr>
      </w:pPr>
      <w:r w:rsidRPr="007241EC">
        <w:rPr>
          <w:rFonts w:ascii="Tahoma" w:hAnsi="Tahoma" w:cs="Tahoma"/>
          <w:sz w:val="20"/>
          <w:szCs w:val="20"/>
        </w:rPr>
        <w:t xml:space="preserve">Imponer a la empresa  DENTILAB DEL PERU S.R.L. la sanción administrativa de inhabilitación temporal por el periodo de doce (12) meses en sus derechos de participar en procesos de selección y contratar con el Estado, por la comisión de la infracción tipificada en el literal b) del  numeral 51.1 del artículo 51 de la Ley de Contrataciones del Estado, así como en el numeral 1 literal b) del artículo 237 de su  Reglamento, la cual entrará en vigencia a partir del sexto día hábil siguiente de notificada la presente Resolución. </w:t>
      </w:r>
    </w:p>
    <w:p w:rsidR="00964F60" w:rsidRPr="007241EC" w:rsidRDefault="00964F60" w:rsidP="00964F60">
      <w:pPr>
        <w:ind w:left="567"/>
        <w:rPr>
          <w:rFonts w:ascii="Tahoma" w:hAnsi="Tahoma" w:cs="Tahoma"/>
          <w:sz w:val="20"/>
          <w:szCs w:val="20"/>
        </w:rPr>
      </w:pPr>
    </w:p>
    <w:p w:rsidR="00964F60" w:rsidRPr="007241EC" w:rsidRDefault="00964F60" w:rsidP="00964F60">
      <w:pPr>
        <w:numPr>
          <w:ilvl w:val="0"/>
          <w:numId w:val="39"/>
        </w:numPr>
        <w:tabs>
          <w:tab w:val="num" w:pos="567"/>
        </w:tabs>
        <w:ind w:left="567" w:hanging="567"/>
        <w:jc w:val="both"/>
        <w:rPr>
          <w:rFonts w:ascii="Tahoma" w:hAnsi="Tahoma" w:cs="Tahoma"/>
          <w:sz w:val="20"/>
          <w:szCs w:val="20"/>
        </w:rPr>
      </w:pPr>
      <w:r w:rsidRPr="007241EC">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964F60" w:rsidRPr="007241EC" w:rsidRDefault="00964F60" w:rsidP="00964F60">
      <w:pPr>
        <w:ind w:left="720"/>
        <w:rPr>
          <w:rFonts w:ascii="Tahoma" w:hAnsi="Tahoma" w:cs="Tahoma"/>
          <w:sz w:val="20"/>
          <w:szCs w:val="20"/>
        </w:rPr>
      </w:pPr>
    </w:p>
    <w:p w:rsidR="007241EC" w:rsidRPr="007241EC" w:rsidRDefault="007241EC" w:rsidP="007241EC">
      <w:pPr>
        <w:pStyle w:val="Textoindependiente21"/>
        <w:ind w:firstLine="360"/>
        <w:rPr>
          <w:rFonts w:cs="Tahoma"/>
          <w:sz w:val="20"/>
        </w:rPr>
      </w:pPr>
      <w:r w:rsidRPr="007241EC">
        <w:rPr>
          <w:rFonts w:cs="Tahoma"/>
          <w:sz w:val="20"/>
        </w:rPr>
        <w:t>Regístrese, comuníquese y publíquese.</w:t>
      </w:r>
    </w:p>
    <w:p w:rsidR="007241EC" w:rsidRPr="007241EC" w:rsidRDefault="007241EC" w:rsidP="007241EC">
      <w:pPr>
        <w:pStyle w:val="Textoindependiente21"/>
        <w:ind w:firstLine="360"/>
        <w:rPr>
          <w:rFonts w:cs="Tahoma"/>
          <w:sz w:val="20"/>
        </w:rPr>
      </w:pPr>
    </w:p>
    <w:p w:rsidR="007241EC" w:rsidRPr="007241EC" w:rsidRDefault="007241EC" w:rsidP="007241EC">
      <w:pPr>
        <w:ind w:left="2124" w:firstLine="708"/>
        <w:jc w:val="center"/>
        <w:rPr>
          <w:rFonts w:ascii="Tahoma" w:hAnsi="Tahoma" w:cs="Tahoma"/>
          <w:b/>
          <w:shadow/>
          <w:sz w:val="20"/>
          <w:szCs w:val="20"/>
        </w:rPr>
      </w:pPr>
    </w:p>
    <w:p w:rsidR="007241EC" w:rsidRDefault="007241EC" w:rsidP="007241EC">
      <w:pPr>
        <w:ind w:left="2124" w:firstLine="708"/>
        <w:jc w:val="center"/>
        <w:rPr>
          <w:rFonts w:ascii="Tahoma" w:hAnsi="Tahoma" w:cs="Tahoma"/>
          <w:b/>
          <w:shadow/>
          <w:sz w:val="20"/>
          <w:szCs w:val="20"/>
        </w:rPr>
      </w:pPr>
    </w:p>
    <w:p w:rsidR="007241EC" w:rsidRDefault="007241EC" w:rsidP="007241EC">
      <w:pPr>
        <w:ind w:left="5664" w:firstLine="708"/>
        <w:rPr>
          <w:rFonts w:ascii="Tahoma" w:hAnsi="Tahoma" w:cs="Tahoma"/>
          <w:b/>
          <w:shadow/>
          <w:sz w:val="20"/>
          <w:szCs w:val="20"/>
        </w:rPr>
      </w:pPr>
    </w:p>
    <w:p w:rsidR="007241EC" w:rsidRDefault="007241EC" w:rsidP="007241EC">
      <w:pPr>
        <w:ind w:left="5664" w:firstLine="708"/>
        <w:rPr>
          <w:rFonts w:ascii="Tahoma" w:hAnsi="Tahoma" w:cs="Tahoma"/>
          <w:b/>
          <w:shadow/>
          <w:sz w:val="20"/>
          <w:szCs w:val="20"/>
        </w:rPr>
      </w:pPr>
    </w:p>
    <w:p w:rsidR="007241EC" w:rsidRDefault="007241EC" w:rsidP="007241EC">
      <w:pPr>
        <w:ind w:left="6372" w:firstLine="708"/>
        <w:rPr>
          <w:rFonts w:ascii="Tahoma" w:hAnsi="Tahoma" w:cs="Tahoma"/>
          <w:b/>
          <w:shadow/>
          <w:sz w:val="20"/>
          <w:szCs w:val="20"/>
        </w:rPr>
      </w:pPr>
    </w:p>
    <w:p w:rsidR="007241EC" w:rsidRPr="007241EC" w:rsidRDefault="007241EC" w:rsidP="007241EC">
      <w:pPr>
        <w:ind w:left="3540" w:firstLine="708"/>
        <w:rPr>
          <w:rFonts w:ascii="Tahoma" w:hAnsi="Tahoma" w:cs="Tahoma"/>
          <w:b/>
          <w:shadow/>
          <w:sz w:val="20"/>
          <w:szCs w:val="20"/>
        </w:rPr>
      </w:pPr>
      <w:r w:rsidRPr="007241EC">
        <w:rPr>
          <w:rFonts w:ascii="Tahoma" w:hAnsi="Tahoma" w:cs="Tahoma"/>
          <w:b/>
          <w:shadow/>
          <w:sz w:val="20"/>
          <w:szCs w:val="20"/>
        </w:rPr>
        <w:t>VOCAL</w:t>
      </w:r>
    </w:p>
    <w:p w:rsidR="007241EC" w:rsidRPr="007241EC" w:rsidRDefault="007241EC" w:rsidP="007241EC">
      <w:pPr>
        <w:jc w:val="both"/>
        <w:rPr>
          <w:rFonts w:ascii="Tahoma" w:hAnsi="Tahoma" w:cs="Tahoma"/>
          <w:sz w:val="20"/>
          <w:szCs w:val="20"/>
        </w:rPr>
      </w:pPr>
    </w:p>
    <w:p w:rsidR="007241EC" w:rsidRPr="007241EC" w:rsidRDefault="007241EC" w:rsidP="007241EC">
      <w:pPr>
        <w:jc w:val="both"/>
        <w:rPr>
          <w:rFonts w:ascii="Tahoma" w:hAnsi="Tahoma" w:cs="Tahoma"/>
          <w:sz w:val="20"/>
          <w:szCs w:val="20"/>
        </w:rPr>
      </w:pPr>
      <w:r w:rsidRPr="007241EC">
        <w:rPr>
          <w:rFonts w:ascii="Tahoma" w:hAnsi="Tahoma" w:cs="Tahoma"/>
          <w:sz w:val="20"/>
          <w:szCs w:val="20"/>
        </w:rPr>
        <w:t>ss.</w:t>
      </w:r>
    </w:p>
    <w:p w:rsidR="007241EC" w:rsidRPr="007241EC" w:rsidRDefault="007241EC" w:rsidP="007241EC">
      <w:pPr>
        <w:jc w:val="both"/>
        <w:rPr>
          <w:rFonts w:ascii="Tahoma" w:hAnsi="Tahoma" w:cs="Tahoma"/>
          <w:color w:val="000000"/>
          <w:sz w:val="20"/>
          <w:szCs w:val="20"/>
        </w:rPr>
      </w:pPr>
      <w:r w:rsidRPr="007241EC">
        <w:rPr>
          <w:rFonts w:ascii="Tahoma" w:hAnsi="Tahoma" w:cs="Tahoma"/>
          <w:color w:val="000000"/>
          <w:sz w:val="20"/>
          <w:szCs w:val="20"/>
        </w:rPr>
        <w:t xml:space="preserve">Ramírez Maynetto </w:t>
      </w:r>
    </w:p>
    <w:p w:rsidR="002C6D86" w:rsidRPr="007241EC" w:rsidRDefault="0061732A" w:rsidP="00351F6F">
      <w:pPr>
        <w:jc w:val="both"/>
        <w:rPr>
          <w:rFonts w:ascii="Tahoma" w:hAnsi="Tahoma" w:cs="Tahoma"/>
          <w:sz w:val="20"/>
          <w:szCs w:val="20"/>
        </w:rPr>
      </w:pPr>
    </w:p>
    <w:sectPr w:rsidR="002C6D86" w:rsidRPr="007241EC"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32A" w:rsidRDefault="0061732A" w:rsidP="00E13E6B">
      <w:r>
        <w:separator/>
      </w:r>
    </w:p>
  </w:endnote>
  <w:endnote w:type="continuationSeparator" w:id="1">
    <w:p w:rsidR="0061732A" w:rsidRDefault="0061732A"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61732A" w:rsidP="00E066F0">
    <w:pPr>
      <w:pStyle w:val="Piedepgina"/>
      <w:jc w:val="center"/>
    </w:pPr>
  </w:p>
  <w:p w:rsidR="00E066F0" w:rsidRDefault="005B0EEA" w:rsidP="00E066F0">
    <w:pPr>
      <w:pStyle w:val="Piedepgina"/>
      <w:jc w:val="center"/>
    </w:pPr>
    <w:r>
      <w:t xml:space="preserve">Página </w:t>
    </w:r>
    <w:r w:rsidR="004F7D7C">
      <w:fldChar w:fldCharType="begin"/>
    </w:r>
    <w:r>
      <w:instrText>PAGE</w:instrText>
    </w:r>
    <w:r w:rsidR="004F7D7C">
      <w:fldChar w:fldCharType="separate"/>
    </w:r>
    <w:r w:rsidR="00BE401F">
      <w:rPr>
        <w:noProof/>
      </w:rPr>
      <w:t>1</w:t>
    </w:r>
    <w:r w:rsidR="004F7D7C">
      <w:fldChar w:fldCharType="end"/>
    </w:r>
    <w:r w:rsidRPr="006214E4">
      <w:t xml:space="preserve"> de </w:t>
    </w:r>
    <w:r w:rsidR="004F7D7C">
      <w:fldChar w:fldCharType="begin"/>
    </w:r>
    <w:r>
      <w:instrText>NUMPAGES</w:instrText>
    </w:r>
    <w:r w:rsidR="004F7D7C">
      <w:fldChar w:fldCharType="separate"/>
    </w:r>
    <w:r w:rsidR="00BE401F">
      <w:rPr>
        <w:noProof/>
      </w:rPr>
      <w:t>18</w:t>
    </w:r>
    <w:r w:rsidR="004F7D7C">
      <w:fldChar w:fldCharType="end"/>
    </w:r>
  </w:p>
  <w:p w:rsidR="00E066F0" w:rsidRPr="00223795" w:rsidRDefault="0061732A"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32A" w:rsidRDefault="0061732A" w:rsidP="00E13E6B">
      <w:r>
        <w:separator/>
      </w:r>
    </w:p>
  </w:footnote>
  <w:footnote w:type="continuationSeparator" w:id="1">
    <w:p w:rsidR="0061732A" w:rsidRDefault="0061732A" w:rsidP="00E13E6B">
      <w:r>
        <w:continuationSeparator/>
      </w:r>
    </w:p>
  </w:footnote>
  <w:footnote w:id="2">
    <w:p w:rsidR="0070531A" w:rsidRDefault="0070531A" w:rsidP="0070531A">
      <w:pPr>
        <w:pStyle w:val="Textonotapie"/>
      </w:pPr>
      <w:r>
        <w:rPr>
          <w:rStyle w:val="Refdenotaalpie"/>
        </w:rPr>
        <w:footnoteRef/>
      </w:r>
      <w:r>
        <w:t xml:space="preserve"> Método de esterilización ofertado por el Contratista en su propuesta técnica, ver folio 031 del presente expediente administrativo.</w:t>
      </w:r>
    </w:p>
  </w:footnote>
  <w:footnote w:id="3">
    <w:p w:rsidR="0070531A" w:rsidRPr="00227330" w:rsidRDefault="0070531A" w:rsidP="00964F60">
      <w:pPr>
        <w:pStyle w:val="Textonotapie"/>
        <w:jc w:val="both"/>
        <w:rPr>
          <w:sz w:val="15"/>
          <w:szCs w:val="15"/>
        </w:rPr>
      </w:pPr>
      <w:r w:rsidRPr="00227330">
        <w:rPr>
          <w:rStyle w:val="Refdenotaalpie"/>
          <w:sz w:val="15"/>
          <w:szCs w:val="15"/>
        </w:rPr>
        <w:footnoteRef/>
      </w:r>
      <w:r w:rsidRPr="00227330">
        <w:rPr>
          <w:sz w:val="15"/>
          <w:szCs w:val="15"/>
        </w:rPr>
        <w:t xml:space="preserve"> </w:t>
      </w:r>
      <w:r w:rsidRPr="00227330">
        <w:rPr>
          <w:b/>
          <w:sz w:val="15"/>
          <w:szCs w:val="15"/>
        </w:rPr>
        <w:t>Artículo 51.- Infracciones y sanciones administrativas</w:t>
      </w:r>
    </w:p>
    <w:p w:rsidR="0070531A" w:rsidRPr="00227330" w:rsidRDefault="0070531A" w:rsidP="00964F60">
      <w:pPr>
        <w:pStyle w:val="Textonotapie"/>
        <w:jc w:val="both"/>
        <w:rPr>
          <w:sz w:val="15"/>
          <w:szCs w:val="15"/>
        </w:rPr>
      </w:pPr>
      <w:r w:rsidRPr="00227330">
        <w:rPr>
          <w:sz w:val="15"/>
          <w:szCs w:val="15"/>
        </w:rPr>
        <w:t>51.1 Infracciones</w:t>
      </w:r>
    </w:p>
    <w:p w:rsidR="0070531A" w:rsidRPr="00227330" w:rsidRDefault="0070531A" w:rsidP="00964F60">
      <w:pPr>
        <w:pStyle w:val="Textonotapie"/>
        <w:jc w:val="both"/>
        <w:rPr>
          <w:sz w:val="15"/>
          <w:szCs w:val="15"/>
        </w:rPr>
      </w:pPr>
      <w:r w:rsidRPr="00227330">
        <w:rPr>
          <w:sz w:val="15"/>
          <w:szCs w:val="15"/>
        </w:rPr>
        <w:t>Se impondrá sanción administrativa a los proveedores, participantes, postores y/o contratistas que:</w:t>
      </w:r>
    </w:p>
    <w:p w:rsidR="0070531A" w:rsidRPr="00227330" w:rsidRDefault="0070531A" w:rsidP="00964F60">
      <w:pPr>
        <w:pStyle w:val="Textonotapie"/>
        <w:jc w:val="both"/>
        <w:rPr>
          <w:sz w:val="15"/>
          <w:szCs w:val="15"/>
        </w:rPr>
      </w:pPr>
      <w:r w:rsidRPr="00227330">
        <w:rPr>
          <w:sz w:val="15"/>
          <w:szCs w:val="15"/>
        </w:rPr>
        <w:t>(…)</w:t>
      </w:r>
    </w:p>
    <w:p w:rsidR="0070531A" w:rsidRPr="00227330" w:rsidRDefault="0070531A" w:rsidP="00964F60">
      <w:pPr>
        <w:pStyle w:val="Textonotapie"/>
        <w:jc w:val="both"/>
        <w:rPr>
          <w:sz w:val="15"/>
          <w:szCs w:val="15"/>
        </w:rPr>
      </w:pPr>
      <w:r w:rsidRPr="00227330">
        <w:rPr>
          <w:sz w:val="15"/>
          <w:szCs w:val="15"/>
        </w:rPr>
        <w:t>b) Den lugar a la resolución del contrato, orden de compra o de servicios por causal atribuible a su  parte;</w:t>
      </w:r>
    </w:p>
  </w:footnote>
  <w:footnote w:id="4">
    <w:p w:rsidR="0070531A" w:rsidRPr="00227330" w:rsidRDefault="0070531A" w:rsidP="00964F60">
      <w:pPr>
        <w:pStyle w:val="Textonotapie"/>
        <w:jc w:val="both"/>
        <w:rPr>
          <w:sz w:val="15"/>
          <w:szCs w:val="15"/>
        </w:rPr>
      </w:pPr>
      <w:r w:rsidRPr="00227330">
        <w:rPr>
          <w:rStyle w:val="Refdenotaalpie"/>
          <w:sz w:val="15"/>
          <w:szCs w:val="15"/>
        </w:rPr>
        <w:footnoteRef/>
      </w:r>
      <w:r w:rsidRPr="00227330">
        <w:rPr>
          <w:sz w:val="15"/>
          <w:szCs w:val="15"/>
        </w:rPr>
        <w:t xml:space="preserve"> </w:t>
      </w:r>
      <w:r w:rsidRPr="00227330">
        <w:rPr>
          <w:b/>
          <w:bCs/>
          <w:sz w:val="15"/>
          <w:szCs w:val="15"/>
        </w:rPr>
        <w:t>Artículo 237.- Causales de aplicación de sanción a los proveedores, participantes, postores y contratistas</w:t>
      </w:r>
    </w:p>
    <w:p w:rsidR="0070531A" w:rsidRPr="00227330" w:rsidRDefault="0070531A" w:rsidP="00964F60">
      <w:pPr>
        <w:pStyle w:val="Textonotapie"/>
        <w:jc w:val="both"/>
        <w:rPr>
          <w:sz w:val="15"/>
          <w:szCs w:val="15"/>
        </w:rPr>
      </w:pPr>
      <w:r w:rsidRPr="00227330">
        <w:rPr>
          <w:sz w:val="15"/>
          <w:szCs w:val="15"/>
        </w:rPr>
        <w:t>El Tribunal impondrá la sanción administrativa de inhabilitación temporal o definitiva a los proveedores, participantes, postores y/o contratistas que:</w:t>
      </w:r>
    </w:p>
    <w:p w:rsidR="0070531A" w:rsidRPr="00227330" w:rsidRDefault="0070531A" w:rsidP="00964F60">
      <w:pPr>
        <w:pStyle w:val="Textonotapie"/>
        <w:jc w:val="both"/>
        <w:rPr>
          <w:sz w:val="15"/>
          <w:szCs w:val="15"/>
        </w:rPr>
      </w:pPr>
      <w:r w:rsidRPr="00227330">
        <w:rPr>
          <w:sz w:val="15"/>
          <w:szCs w:val="15"/>
        </w:rPr>
        <w:t>(…)</w:t>
      </w:r>
    </w:p>
    <w:p w:rsidR="0070531A" w:rsidRPr="00237395" w:rsidRDefault="0070531A" w:rsidP="00964F60">
      <w:pPr>
        <w:pStyle w:val="Textonotapie"/>
        <w:jc w:val="both"/>
        <w:rPr>
          <w:sz w:val="18"/>
          <w:szCs w:val="18"/>
        </w:rPr>
      </w:pPr>
      <w:r w:rsidRPr="00227330">
        <w:rPr>
          <w:sz w:val="15"/>
          <w:szCs w:val="15"/>
        </w:rPr>
        <w:t>2) Den lugar a la resolución del contrato, orden de compra o de servicios por causal atribuible a su parte.</w:t>
      </w:r>
    </w:p>
  </w:footnote>
  <w:footnote w:id="5">
    <w:p w:rsidR="0070531A" w:rsidRPr="00CD30A1" w:rsidRDefault="0070531A" w:rsidP="00964F60">
      <w:pPr>
        <w:pStyle w:val="Textonotapie"/>
        <w:jc w:val="both"/>
      </w:pPr>
      <w:r w:rsidRPr="00C12921">
        <w:rPr>
          <w:rStyle w:val="Refdenotaalpie"/>
          <w:rFonts w:cs="Tahoma"/>
          <w:sz w:val="16"/>
          <w:szCs w:val="16"/>
        </w:rPr>
        <w:footnoteRef/>
      </w:r>
      <w:r w:rsidRPr="00C12921">
        <w:rPr>
          <w:rFonts w:cs="Tahoma"/>
          <w:sz w:val="16"/>
          <w:szCs w:val="16"/>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footnote>
  <w:footnote w:id="6">
    <w:p w:rsidR="0070531A" w:rsidRPr="0069745D" w:rsidRDefault="0070531A" w:rsidP="0070531A">
      <w:pPr>
        <w:pStyle w:val="Textonotapie"/>
        <w:tabs>
          <w:tab w:val="left" w:pos="284"/>
        </w:tabs>
        <w:ind w:left="284" w:hanging="284"/>
        <w:rPr>
          <w:b/>
          <w:bCs/>
          <w:color w:val="000000"/>
          <w:sz w:val="16"/>
          <w:szCs w:val="16"/>
        </w:rPr>
      </w:pPr>
      <w:r w:rsidRPr="0069745D">
        <w:rPr>
          <w:rStyle w:val="Refdenotaalpie"/>
          <w:rFonts w:cs="Tahoma"/>
          <w:sz w:val="16"/>
          <w:szCs w:val="16"/>
        </w:rPr>
        <w:footnoteRef/>
      </w:r>
      <w:r w:rsidRPr="0069745D">
        <w:rPr>
          <w:rFonts w:cs="Tahoma"/>
          <w:sz w:val="16"/>
          <w:szCs w:val="16"/>
        </w:rPr>
        <w:t xml:space="preserve"> </w:t>
      </w:r>
      <w:r w:rsidRPr="0069745D">
        <w:rPr>
          <w:b/>
          <w:bCs/>
          <w:color w:val="000000"/>
          <w:sz w:val="16"/>
          <w:szCs w:val="16"/>
        </w:rPr>
        <w:t>Artículo 170.- Efectos de la resolución.-</w:t>
      </w:r>
    </w:p>
    <w:p w:rsidR="0070531A" w:rsidRPr="0069745D" w:rsidRDefault="0070531A" w:rsidP="0070531A">
      <w:pPr>
        <w:pStyle w:val="Textonotapie"/>
        <w:tabs>
          <w:tab w:val="left" w:pos="0"/>
        </w:tabs>
        <w:rPr>
          <w:bCs/>
          <w:color w:val="000000"/>
          <w:sz w:val="16"/>
          <w:szCs w:val="16"/>
        </w:rPr>
      </w:pPr>
      <w:r w:rsidRPr="0069745D">
        <w:rPr>
          <w:bCs/>
          <w:color w:val="000000"/>
          <w:sz w:val="16"/>
          <w:szCs w:val="16"/>
        </w:rPr>
        <w:t>(…)</w:t>
      </w:r>
    </w:p>
    <w:p w:rsidR="0070531A" w:rsidRPr="00D1498F" w:rsidRDefault="0070531A" w:rsidP="0070531A">
      <w:pPr>
        <w:pStyle w:val="Textonotapie"/>
        <w:rPr>
          <w:rFonts w:cs="Tahoma"/>
        </w:rPr>
      </w:pPr>
      <w:r w:rsidRPr="0069745D">
        <w:rPr>
          <w:color w:val="000000"/>
          <w:sz w:val="16"/>
          <w:szCs w:val="16"/>
        </w:rPr>
        <w:t xml:space="preserve">Cualquier controversia relacionada con la resolución del contrato podrá ser sometida por la parte interesada a conciliación y/o arbitraje dentro de los </w:t>
      </w:r>
      <w:r w:rsidRPr="0069745D">
        <w:rPr>
          <w:b/>
          <w:color w:val="000000"/>
          <w:sz w:val="16"/>
          <w:szCs w:val="16"/>
          <w:u w:val="single"/>
        </w:rPr>
        <w:t>quince (15) días hábiles</w:t>
      </w:r>
      <w:r w:rsidRPr="0069745D">
        <w:rPr>
          <w:color w:val="000000"/>
          <w:sz w:val="16"/>
          <w:szCs w:val="16"/>
        </w:rPr>
        <w:t xml:space="preserve"> siguientes de comunicada la resolución. Vencido este plazo sin que se haya iniciado ninguno de estos procedimientos, se entenderá que la resolución del contrato ha quedado consentida. </w:t>
      </w:r>
    </w:p>
  </w:footnote>
  <w:footnote w:id="7">
    <w:p w:rsidR="0070531A" w:rsidRPr="0047326A" w:rsidRDefault="0070531A" w:rsidP="0070531A">
      <w:pPr>
        <w:pStyle w:val="Sinespaciado"/>
        <w:jc w:val="both"/>
        <w:rPr>
          <w:rFonts w:ascii="Tahoma" w:hAnsi="Tahoma" w:cs="Tahoma"/>
          <w:sz w:val="16"/>
          <w:szCs w:val="16"/>
        </w:rPr>
      </w:pPr>
      <w:r w:rsidRPr="0047326A">
        <w:rPr>
          <w:rStyle w:val="Refdenotaalpie"/>
          <w:rFonts w:ascii="Tahoma" w:eastAsia="Calibri" w:hAnsi="Tahoma" w:cs="Tahoma"/>
          <w:sz w:val="16"/>
          <w:szCs w:val="16"/>
        </w:rPr>
        <w:footnoteRef/>
      </w:r>
      <w:r w:rsidRPr="0047326A">
        <w:rPr>
          <w:rFonts w:ascii="Tahoma" w:hAnsi="Tahoma" w:cs="Tahoma"/>
          <w:sz w:val="16"/>
          <w:szCs w:val="16"/>
        </w:rPr>
        <w:t xml:space="preserve"> </w:t>
      </w:r>
      <w:r w:rsidRPr="0047326A">
        <w:rPr>
          <w:rFonts w:ascii="Tahoma" w:hAnsi="Tahoma" w:cs="Tahoma"/>
          <w:b/>
          <w:sz w:val="16"/>
          <w:szCs w:val="16"/>
        </w:rPr>
        <w:t>Articulo 244.- Suspensión del plazo de prescripción</w:t>
      </w:r>
      <w:r w:rsidRPr="0047326A">
        <w:rPr>
          <w:rFonts w:ascii="Tahoma" w:hAnsi="Tahoma" w:cs="Tahoma"/>
          <w:sz w:val="16"/>
          <w:szCs w:val="16"/>
        </w:rPr>
        <w:t xml:space="preserve">  </w:t>
      </w:r>
    </w:p>
    <w:p w:rsidR="0070531A" w:rsidRPr="0047326A" w:rsidRDefault="0070531A" w:rsidP="0070531A">
      <w:pPr>
        <w:pStyle w:val="Sinespaciado"/>
        <w:jc w:val="both"/>
        <w:rPr>
          <w:rFonts w:ascii="Tahoma" w:hAnsi="Tahoma" w:cs="Tahoma"/>
          <w:sz w:val="16"/>
          <w:szCs w:val="16"/>
        </w:rPr>
      </w:pPr>
      <w:r w:rsidRPr="0047326A">
        <w:rPr>
          <w:rFonts w:ascii="Tahoma" w:hAnsi="Tahoma" w:cs="Tahoma"/>
          <w:sz w:val="16"/>
          <w:szCs w:val="16"/>
        </w:rPr>
        <w:t>El plazo de prescripción se suspende en los siguientes casos:</w:t>
      </w:r>
    </w:p>
    <w:p w:rsidR="0070531A" w:rsidRPr="0047326A" w:rsidRDefault="0070531A" w:rsidP="0070531A">
      <w:pPr>
        <w:pStyle w:val="Sinespaciado"/>
        <w:jc w:val="both"/>
        <w:rPr>
          <w:rFonts w:ascii="Tahoma" w:hAnsi="Tahoma" w:cs="Tahoma"/>
          <w:sz w:val="16"/>
          <w:szCs w:val="16"/>
        </w:rPr>
      </w:pPr>
      <w:r w:rsidRPr="0047326A">
        <w:rPr>
          <w:rFonts w:ascii="Tahoma" w:hAnsi="Tahoma" w:cs="Tahoma"/>
          <w:sz w:val="16"/>
          <w:szCs w:val="16"/>
        </w:rPr>
        <w:t>(…)</w:t>
      </w:r>
    </w:p>
    <w:p w:rsidR="0070531A" w:rsidRPr="0047326A" w:rsidRDefault="0070531A" w:rsidP="0070531A">
      <w:pPr>
        <w:pStyle w:val="Sinespaciado"/>
        <w:jc w:val="both"/>
        <w:rPr>
          <w:rFonts w:ascii="Tahoma" w:eastAsia="Calibri" w:hAnsi="Tahoma" w:cs="Tahoma"/>
          <w:sz w:val="16"/>
          <w:szCs w:val="16"/>
          <w:lang w:eastAsia="en-US"/>
        </w:rPr>
      </w:pPr>
      <w:r w:rsidRPr="0047326A">
        <w:rPr>
          <w:rFonts w:ascii="Tahoma" w:eastAsia="Calibri" w:hAnsi="Tahoma" w:cs="Tahoma"/>
          <w:sz w:val="16"/>
          <w:szCs w:val="16"/>
          <w:lang w:eastAsia="en-US"/>
        </w:rPr>
        <w:t>Por la tramitación de proceso judicial o arbitral que sea necesario para la determinación de la responsabilidad del proveedor, postor, contratista o experto independiente, en el respectivo procedimiento administrativo sancionador. En el caso de procesos arbitrales, se entenderá iniciada la tramitación a partir de la instalación del árbitro o tribunal arbitral. En tales supuestos, la suspensión del plazo surtirá efectos a partir del acuerdo del Tribunal que así lo determine y en tanto dicho órgano no sea comunicado de la sentencia judicial o laudo que dé termino al proceso.</w:t>
      </w:r>
    </w:p>
    <w:p w:rsidR="0070531A" w:rsidRPr="0047326A" w:rsidRDefault="0070531A" w:rsidP="0070531A">
      <w:pPr>
        <w:pStyle w:val="Sinespaciado"/>
        <w:jc w:val="both"/>
        <w:rPr>
          <w:rFonts w:ascii="Tahoma" w:hAnsi="Tahoma" w:cs="Tahoma"/>
          <w:sz w:val="16"/>
          <w:szCs w:val="16"/>
        </w:rPr>
      </w:pPr>
    </w:p>
  </w:footnote>
  <w:footnote w:id="8">
    <w:p w:rsidR="0070531A" w:rsidRDefault="0070531A" w:rsidP="0070531A">
      <w:pPr>
        <w:pStyle w:val="Sinespaciado"/>
        <w:jc w:val="both"/>
        <w:rPr>
          <w:rFonts w:ascii="Tahoma" w:hAnsi="Tahoma" w:cs="Tahoma"/>
          <w:sz w:val="16"/>
          <w:szCs w:val="16"/>
        </w:rPr>
      </w:pPr>
      <w:r w:rsidRPr="0047326A">
        <w:rPr>
          <w:rStyle w:val="Refdenotaalpie"/>
          <w:rFonts w:ascii="Tahoma" w:eastAsia="Calibri" w:hAnsi="Tahoma" w:cs="Tahoma"/>
          <w:sz w:val="16"/>
          <w:szCs w:val="16"/>
        </w:rPr>
        <w:footnoteRef/>
      </w:r>
      <w:r w:rsidRPr="0047326A">
        <w:rPr>
          <w:rFonts w:ascii="Tahoma" w:hAnsi="Tahoma" w:cs="Tahoma"/>
          <w:sz w:val="16"/>
          <w:szCs w:val="16"/>
        </w:rPr>
        <w:t xml:space="preserve"> Normativa de aplicación supletoria a la Ley de Contrataciones del Estado, en virtud de lo establecido tanto en el numeral 4.1 del artículo 4 de la aludida Ley de Contrataciones del Estado</w:t>
      </w:r>
      <w:r w:rsidRPr="0047326A">
        <w:rPr>
          <w:rStyle w:val="Refdenotaalpie"/>
          <w:rFonts w:ascii="Tahoma" w:eastAsia="Calibri" w:hAnsi="Tahoma" w:cs="Tahoma"/>
          <w:sz w:val="16"/>
          <w:szCs w:val="16"/>
        </w:rPr>
        <w:footnoteRef/>
      </w:r>
      <w:r w:rsidRPr="0047326A">
        <w:rPr>
          <w:rFonts w:ascii="Tahoma" w:hAnsi="Tahoma" w:cs="Tahoma"/>
          <w:sz w:val="16"/>
          <w:szCs w:val="16"/>
        </w:rPr>
        <w:t xml:space="preserve"> como en el numeral 2 del Artículo II del Título Prelimi</w:t>
      </w:r>
      <w:r>
        <w:rPr>
          <w:rFonts w:ascii="Tahoma" w:hAnsi="Tahoma" w:cs="Tahoma"/>
          <w:sz w:val="16"/>
          <w:szCs w:val="16"/>
        </w:rPr>
        <w:t>nar de la mencionada Ley № 27444.</w:t>
      </w:r>
    </w:p>
    <w:p w:rsidR="0070531A" w:rsidRPr="0047326A" w:rsidRDefault="0070531A" w:rsidP="0070531A">
      <w:pPr>
        <w:pStyle w:val="Sinespaciado"/>
        <w:jc w:val="both"/>
        <w:rPr>
          <w:rFonts w:ascii="Tahoma" w:hAnsi="Tahoma" w:cs="Tahoma"/>
          <w:sz w:val="16"/>
          <w:szCs w:val="16"/>
        </w:rPr>
      </w:pPr>
    </w:p>
  </w:footnote>
  <w:footnote w:id="9">
    <w:p w:rsidR="0070531A" w:rsidRPr="0047326A" w:rsidRDefault="0070531A" w:rsidP="0070531A">
      <w:pPr>
        <w:pStyle w:val="Sinespaciado"/>
        <w:jc w:val="both"/>
        <w:rPr>
          <w:rFonts w:ascii="Tahoma" w:eastAsia="Calibri" w:hAnsi="Tahoma" w:cs="Tahoma"/>
          <w:sz w:val="16"/>
          <w:szCs w:val="16"/>
          <w:lang w:eastAsia="en-US"/>
        </w:rPr>
      </w:pPr>
      <w:r w:rsidRPr="0047326A">
        <w:rPr>
          <w:rStyle w:val="Refdenotaalpie"/>
          <w:rFonts w:ascii="Tahoma" w:eastAsia="Calibri" w:hAnsi="Tahoma" w:cs="Tahoma"/>
          <w:sz w:val="16"/>
          <w:szCs w:val="16"/>
        </w:rPr>
        <w:footnoteRef/>
      </w:r>
      <w:r w:rsidRPr="0047326A">
        <w:rPr>
          <w:rFonts w:ascii="Tahoma" w:hAnsi="Tahoma" w:cs="Tahoma"/>
          <w:sz w:val="16"/>
          <w:szCs w:val="16"/>
        </w:rPr>
        <w:t xml:space="preserve"> </w:t>
      </w:r>
      <w:r w:rsidRPr="0047326A">
        <w:rPr>
          <w:rFonts w:ascii="Tahoma" w:eastAsiaTheme="minorHAnsi" w:hAnsi="Tahoma" w:cs="Tahoma"/>
          <w:sz w:val="16"/>
          <w:szCs w:val="16"/>
          <w:lang w:eastAsia="en-US"/>
        </w:rPr>
        <w:t xml:space="preserve">Este supuesto también está expresamente previsto en el artículo 13° del TUO de la Ley Orgánica del Poder Judicial, aprobado mediante D.S. N° 017-93-JUS y  constituye una medida de excepción, debido a que limita la competencia de la autoridad administrativa, por lo que sólo debe ser aplicado cuando existe estricta identidad de sujetos, hechos y fundamentos jurídicos. En este caso, la autoridad competente para la resolución del procedimiento administrativo debe inhibirse hasta que el Poder Judicial resuelva el litigio. </w:t>
      </w:r>
    </w:p>
    <w:p w:rsidR="0070531A" w:rsidRDefault="0070531A" w:rsidP="0070531A">
      <w:pPr>
        <w:pStyle w:val="Textonotapie"/>
      </w:pPr>
    </w:p>
  </w:footnote>
  <w:footnote w:id="10">
    <w:p w:rsidR="00964F60" w:rsidRPr="007241EC" w:rsidRDefault="00964F60" w:rsidP="007241EC">
      <w:pPr>
        <w:pStyle w:val="Textoindependiente"/>
        <w:jc w:val="both"/>
        <w:rPr>
          <w:b/>
          <w:bCs/>
          <w:i/>
          <w:iCs/>
          <w:sz w:val="16"/>
          <w:szCs w:val="16"/>
          <w:lang w:val="es-PE"/>
        </w:rPr>
      </w:pPr>
      <w:r w:rsidRPr="007241EC">
        <w:rPr>
          <w:rStyle w:val="Refdenotaalpie"/>
          <w:i/>
          <w:iCs/>
          <w:sz w:val="16"/>
          <w:szCs w:val="16"/>
        </w:rPr>
        <w:footnoteRef/>
      </w:r>
      <w:r w:rsidRPr="007241EC">
        <w:rPr>
          <w:i/>
          <w:iCs/>
          <w:sz w:val="16"/>
          <w:szCs w:val="16"/>
        </w:rPr>
        <w:t xml:space="preserve"> </w:t>
      </w:r>
      <w:r w:rsidRPr="007241EC">
        <w:rPr>
          <w:b/>
          <w:bCs/>
          <w:i/>
          <w:iCs/>
          <w:sz w:val="16"/>
          <w:szCs w:val="16"/>
          <w:lang w:val="es-PE"/>
        </w:rPr>
        <w:t>Artículo 64°.- Conflicto con la función jurisdiccional.-</w:t>
      </w:r>
    </w:p>
    <w:p w:rsidR="00964F60" w:rsidRPr="007241EC" w:rsidRDefault="00964F60" w:rsidP="007241EC">
      <w:pPr>
        <w:pStyle w:val="Textoindependiente"/>
        <w:jc w:val="both"/>
        <w:rPr>
          <w:i/>
          <w:iCs/>
          <w:sz w:val="16"/>
          <w:szCs w:val="16"/>
          <w:lang w:val="es-PE"/>
        </w:rPr>
      </w:pPr>
      <w:r w:rsidRPr="007241EC">
        <w:rPr>
          <w:i/>
          <w:iCs/>
          <w:sz w:val="16"/>
          <w:szCs w:val="16"/>
          <w:lang w:val="es-PE"/>
        </w:rPr>
        <w:t>64.1. Cuando, durante la tramitación de un procedimiento, la autoridad administrativa adquiere conocimiento que se está tramitando en sede jurisdiccional una cuestión litigiosa entre dos administrados sobre determinadas relaciones de derecho privado que precisen ser esclarecidas previamente al pronunciamiento administrativo, solicitará al órgano jurisdiccional comunicación sobre las actuaciones realizadas.</w:t>
      </w:r>
    </w:p>
    <w:p w:rsidR="00964F60" w:rsidRPr="007241EC" w:rsidRDefault="00964F60" w:rsidP="007241EC">
      <w:pPr>
        <w:pStyle w:val="Textoindependiente"/>
        <w:jc w:val="both"/>
        <w:rPr>
          <w:i/>
          <w:iCs/>
          <w:sz w:val="16"/>
          <w:szCs w:val="16"/>
          <w:lang w:val="es-PE"/>
        </w:rPr>
      </w:pPr>
      <w:r w:rsidRPr="007241EC">
        <w:rPr>
          <w:i/>
          <w:iCs/>
          <w:sz w:val="16"/>
          <w:szCs w:val="16"/>
          <w:lang w:val="es-PE"/>
        </w:rPr>
        <w:t>64.2. Recibida la comunicación, y sólo si estima que existe estricta identidad de sujetos, hechos y fundamentos, la autoridad competente para la resolución del procedimiento podrá determinar su inhibición hasta que el órgano jurisdiccional resuelva el litigio.</w:t>
      </w:r>
    </w:p>
    <w:p w:rsidR="00964F60" w:rsidRPr="007241EC" w:rsidRDefault="00964F60" w:rsidP="007241EC">
      <w:pPr>
        <w:pStyle w:val="Textoindependiente"/>
        <w:jc w:val="both"/>
        <w:rPr>
          <w:i/>
          <w:iCs/>
          <w:sz w:val="16"/>
          <w:szCs w:val="16"/>
          <w:lang w:val="es-PE"/>
        </w:rPr>
      </w:pPr>
      <w:r w:rsidRPr="007241EC">
        <w:rPr>
          <w:i/>
          <w:iCs/>
          <w:sz w:val="16"/>
          <w:szCs w:val="16"/>
          <w:lang w:val="es-PE"/>
        </w:rPr>
        <w:t>La resolución inhibitoria es elevada en consulta al superior jerárquico, si lo hubiere, aun cuando no medie apelación.  Si es confirmada la resolución inhibitoria es comunicada al Procurador Público correspondiente para que, de ser el caso y convenir a los intereses del Estado, se apersone al proceso.</w:t>
      </w:r>
    </w:p>
    <w:p w:rsidR="00964F60" w:rsidRPr="007241EC" w:rsidRDefault="00964F60" w:rsidP="007241EC">
      <w:pPr>
        <w:pStyle w:val="Sinespaciado"/>
        <w:jc w:val="both"/>
        <w:rPr>
          <w:sz w:val="16"/>
          <w:szCs w:val="16"/>
        </w:rPr>
      </w:pPr>
    </w:p>
  </w:footnote>
  <w:footnote w:id="11">
    <w:p w:rsidR="00964F60" w:rsidRPr="007241EC" w:rsidRDefault="00964F60" w:rsidP="007241EC">
      <w:pPr>
        <w:pStyle w:val="Textoindependiente"/>
        <w:jc w:val="both"/>
        <w:rPr>
          <w:b/>
          <w:bCs/>
          <w:i/>
          <w:iCs/>
          <w:sz w:val="16"/>
          <w:szCs w:val="16"/>
        </w:rPr>
      </w:pPr>
      <w:r w:rsidRPr="007241EC">
        <w:rPr>
          <w:rStyle w:val="Refdenotaalpie"/>
          <w:i/>
          <w:iCs/>
          <w:sz w:val="16"/>
          <w:szCs w:val="16"/>
        </w:rPr>
        <w:footnoteRef/>
      </w:r>
      <w:r w:rsidRPr="007241EC">
        <w:rPr>
          <w:i/>
          <w:iCs/>
          <w:sz w:val="16"/>
          <w:szCs w:val="16"/>
        </w:rPr>
        <w:t xml:space="preserve"> </w:t>
      </w:r>
      <w:r w:rsidRPr="007241EC">
        <w:rPr>
          <w:b/>
          <w:bCs/>
          <w:i/>
          <w:iCs/>
          <w:sz w:val="16"/>
          <w:szCs w:val="16"/>
        </w:rPr>
        <w:t>Artículo 13°.-</w:t>
      </w:r>
      <w:r w:rsidRPr="007241EC">
        <w:rPr>
          <w:i/>
          <w:iCs/>
          <w:sz w:val="16"/>
          <w:szCs w:val="16"/>
        </w:rPr>
        <w:t xml:space="preserve"> </w:t>
      </w:r>
      <w:r w:rsidRPr="007241EC">
        <w:rPr>
          <w:b/>
          <w:bCs/>
          <w:i/>
          <w:iCs/>
          <w:sz w:val="16"/>
          <w:szCs w:val="16"/>
        </w:rPr>
        <w:t>Cuestión contenciosa en procedimiento administrativo.</w:t>
      </w:r>
    </w:p>
    <w:p w:rsidR="00964F60" w:rsidRPr="007241EC" w:rsidRDefault="00964F60" w:rsidP="007241EC">
      <w:pPr>
        <w:pStyle w:val="Textoindependiente"/>
        <w:jc w:val="both"/>
        <w:rPr>
          <w:i/>
          <w:iCs/>
          <w:sz w:val="16"/>
          <w:szCs w:val="16"/>
        </w:rPr>
      </w:pPr>
      <w:r w:rsidRPr="007241EC">
        <w:rPr>
          <w:i/>
          <w:iCs/>
          <w:sz w:val="16"/>
          <w:szCs w:val="16"/>
        </w:rPr>
        <w:t>Cuando en un procedimiento administrativo surja una cuestión contenciosa, que requiera de un pronunciamiento previo, sin el cual no puede ser resuelto el asunto que se tramita ante la administración pública, se suspende aquel por la autoridad que conoce del mismo, a fin que el Poder Judicial declare el derecho que defina el litigio. Si la autoridad administrativa se niega a suspender el procedimiento, los interesados pueden interponer la demanda pertinente ante el Poder Judicial. Si la conducta de la autoridad administrativa provoca conflicto, éste se resuelve aplicando las reglas procesales de determinación de competencia, en cada caso.</w:t>
      </w:r>
    </w:p>
    <w:p w:rsidR="00964F60" w:rsidRDefault="00964F60" w:rsidP="00964F60">
      <w:pPr>
        <w:pStyle w:val="Textoindependiente"/>
      </w:pPr>
    </w:p>
  </w:footnote>
  <w:footnote w:id="12">
    <w:p w:rsidR="00964F60" w:rsidRDefault="00964F60" w:rsidP="00964F60">
      <w:pPr>
        <w:pStyle w:val="Textoindependiente"/>
        <w:ind w:left="180" w:hanging="180"/>
        <w:jc w:val="both"/>
      </w:pPr>
      <w:r>
        <w:rPr>
          <w:rStyle w:val="Refdenotaalpie"/>
          <w:i/>
          <w:iCs/>
          <w:sz w:val="18"/>
          <w:szCs w:val="18"/>
        </w:rPr>
        <w:footnoteRef/>
      </w:r>
      <w:r>
        <w:rPr>
          <w:i/>
          <w:iCs/>
          <w:sz w:val="18"/>
          <w:szCs w:val="18"/>
        </w:rPr>
        <w:t xml:space="preserve">  La anotada presunción legal se sustenta en el </w:t>
      </w:r>
      <w:r>
        <w:rPr>
          <w:i/>
          <w:iCs/>
          <w:sz w:val="18"/>
          <w:szCs w:val="18"/>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Pr>
          <w:i/>
          <w:iCs/>
          <w:sz w:val="18"/>
          <w:szCs w:val="18"/>
        </w:rPr>
        <w:t>artículo IX, del Título Preliminar del mismo cuerpo normativo: “Las disposiciones del Código Civil se aplican supletoriamente a las relaciones y situaciones jurídicas reguladas por otras leyes, siempre que no sean incompatibles con su naturaleza”.</w:t>
      </w:r>
    </w:p>
  </w:footnote>
  <w:footnote w:id="13">
    <w:p w:rsidR="00964F60" w:rsidRPr="00964F60" w:rsidRDefault="00964F60" w:rsidP="00964F60">
      <w:pPr>
        <w:pStyle w:val="Textoindependiente"/>
        <w:ind w:left="142" w:hanging="142"/>
        <w:rPr>
          <w:b/>
          <w:bCs/>
          <w:i/>
          <w:iCs/>
          <w:sz w:val="16"/>
          <w:szCs w:val="16"/>
          <w:lang w:val="es-ES_tradnl"/>
        </w:rPr>
      </w:pPr>
      <w:r>
        <w:rPr>
          <w:rStyle w:val="Refdenotaalpie"/>
          <w:i/>
          <w:iCs/>
          <w:sz w:val="18"/>
          <w:szCs w:val="18"/>
        </w:rPr>
        <w:footnoteRef/>
      </w:r>
      <w:r>
        <w:rPr>
          <w:b/>
          <w:bCs/>
          <w:i/>
          <w:iCs/>
          <w:sz w:val="18"/>
          <w:szCs w:val="18"/>
        </w:rPr>
        <w:t xml:space="preserve"> </w:t>
      </w:r>
      <w:r w:rsidRPr="00964F60">
        <w:rPr>
          <w:b/>
          <w:bCs/>
          <w:i/>
          <w:iCs/>
          <w:sz w:val="16"/>
          <w:szCs w:val="16"/>
          <w:lang w:val="es-ES_tradnl"/>
        </w:rPr>
        <w:t>Artículo 245.- Determinación gradual de la sanción.-</w:t>
      </w:r>
    </w:p>
    <w:p w:rsidR="00964F60" w:rsidRPr="00964F60" w:rsidRDefault="00964F60" w:rsidP="00964F60">
      <w:pPr>
        <w:pStyle w:val="Textoindependiente"/>
        <w:ind w:left="142"/>
        <w:rPr>
          <w:i/>
          <w:iCs/>
          <w:sz w:val="16"/>
          <w:szCs w:val="16"/>
          <w:lang w:val="es-ES_tradnl"/>
        </w:rPr>
      </w:pPr>
      <w:r w:rsidRPr="00964F60">
        <w:rPr>
          <w:i/>
          <w:iCs/>
          <w:sz w:val="16"/>
          <w:szCs w:val="16"/>
          <w:lang w:val="es-ES_tradnl"/>
        </w:rPr>
        <w:t>Para graduar la sanción a imponerse conforme a las disposiciones del presente Título, se considerarán los siguientes criterios:</w:t>
      </w:r>
    </w:p>
    <w:p w:rsidR="00964F60" w:rsidRPr="00964F60" w:rsidRDefault="00964F60" w:rsidP="00964F60">
      <w:pPr>
        <w:pStyle w:val="Textoindependiente"/>
        <w:numPr>
          <w:ilvl w:val="0"/>
          <w:numId w:val="36"/>
        </w:numPr>
        <w:tabs>
          <w:tab w:val="num" w:pos="284"/>
        </w:tabs>
        <w:spacing w:after="0"/>
        <w:ind w:left="284" w:firstLine="0"/>
        <w:jc w:val="both"/>
        <w:rPr>
          <w:i/>
          <w:iCs/>
          <w:sz w:val="16"/>
          <w:szCs w:val="16"/>
          <w:lang w:val="es-ES_tradnl"/>
        </w:rPr>
      </w:pPr>
      <w:r w:rsidRPr="00964F60">
        <w:rPr>
          <w:i/>
          <w:iCs/>
          <w:sz w:val="16"/>
          <w:szCs w:val="16"/>
          <w:lang w:val="es-ES_tradnl"/>
        </w:rPr>
        <w:t>Naturaleza de la infracción.</w:t>
      </w:r>
    </w:p>
    <w:p w:rsidR="00964F60" w:rsidRPr="00964F60" w:rsidRDefault="00964F60" w:rsidP="00964F60">
      <w:pPr>
        <w:pStyle w:val="Textoindependiente"/>
        <w:numPr>
          <w:ilvl w:val="0"/>
          <w:numId w:val="36"/>
        </w:numPr>
        <w:tabs>
          <w:tab w:val="num" w:pos="284"/>
        </w:tabs>
        <w:spacing w:after="0"/>
        <w:ind w:left="284" w:firstLine="0"/>
        <w:jc w:val="both"/>
        <w:rPr>
          <w:i/>
          <w:iCs/>
          <w:sz w:val="16"/>
          <w:szCs w:val="16"/>
          <w:lang w:val="es-ES_tradnl"/>
        </w:rPr>
      </w:pPr>
      <w:r w:rsidRPr="00964F60">
        <w:rPr>
          <w:i/>
          <w:iCs/>
          <w:sz w:val="16"/>
          <w:szCs w:val="16"/>
          <w:lang w:val="es-ES_tradnl"/>
        </w:rPr>
        <w:t>Intencionalidad del infractor.</w:t>
      </w:r>
    </w:p>
    <w:p w:rsidR="00964F60" w:rsidRPr="00964F60" w:rsidRDefault="00964F60" w:rsidP="00964F60">
      <w:pPr>
        <w:pStyle w:val="Textoindependiente"/>
        <w:numPr>
          <w:ilvl w:val="0"/>
          <w:numId w:val="36"/>
        </w:numPr>
        <w:tabs>
          <w:tab w:val="num" w:pos="284"/>
        </w:tabs>
        <w:spacing w:after="0"/>
        <w:ind w:left="284" w:firstLine="0"/>
        <w:jc w:val="both"/>
        <w:rPr>
          <w:i/>
          <w:iCs/>
          <w:sz w:val="16"/>
          <w:szCs w:val="16"/>
          <w:lang w:val="es-ES_tradnl"/>
        </w:rPr>
      </w:pPr>
      <w:r w:rsidRPr="00964F60">
        <w:rPr>
          <w:i/>
          <w:iCs/>
          <w:sz w:val="16"/>
          <w:szCs w:val="16"/>
          <w:lang w:val="es-ES_tradnl"/>
        </w:rPr>
        <w:t>Daño causado.</w:t>
      </w:r>
    </w:p>
    <w:p w:rsidR="00964F60" w:rsidRPr="00964F60" w:rsidRDefault="00964F60" w:rsidP="00964F60">
      <w:pPr>
        <w:pStyle w:val="Textoindependiente"/>
        <w:numPr>
          <w:ilvl w:val="0"/>
          <w:numId w:val="36"/>
        </w:numPr>
        <w:tabs>
          <w:tab w:val="num" w:pos="284"/>
        </w:tabs>
        <w:spacing w:after="0"/>
        <w:ind w:left="284" w:firstLine="0"/>
        <w:jc w:val="both"/>
        <w:rPr>
          <w:i/>
          <w:iCs/>
          <w:sz w:val="16"/>
          <w:szCs w:val="16"/>
          <w:lang w:val="es-ES_tradnl"/>
        </w:rPr>
      </w:pPr>
      <w:r w:rsidRPr="00964F60">
        <w:rPr>
          <w:i/>
          <w:iCs/>
          <w:sz w:val="16"/>
          <w:szCs w:val="16"/>
          <w:lang w:val="es-ES_tradnl"/>
        </w:rPr>
        <w:t>Reiterancia.</w:t>
      </w:r>
    </w:p>
    <w:p w:rsidR="00964F60" w:rsidRPr="00964F60" w:rsidRDefault="00964F60" w:rsidP="00964F60">
      <w:pPr>
        <w:pStyle w:val="Textoindependiente"/>
        <w:numPr>
          <w:ilvl w:val="0"/>
          <w:numId w:val="36"/>
        </w:numPr>
        <w:tabs>
          <w:tab w:val="num" w:pos="284"/>
        </w:tabs>
        <w:spacing w:after="0"/>
        <w:ind w:left="284" w:firstLine="0"/>
        <w:jc w:val="both"/>
        <w:rPr>
          <w:i/>
          <w:iCs/>
          <w:sz w:val="16"/>
          <w:szCs w:val="16"/>
          <w:lang w:val="es-ES_tradnl"/>
        </w:rPr>
      </w:pPr>
      <w:r w:rsidRPr="00964F60">
        <w:rPr>
          <w:i/>
          <w:iCs/>
          <w:sz w:val="16"/>
          <w:szCs w:val="16"/>
          <w:lang w:val="es-ES_tradnl"/>
        </w:rPr>
        <w:t>El reconocimiento de la infracción cometida antes de que sea detectada.</w:t>
      </w:r>
    </w:p>
    <w:p w:rsidR="00964F60" w:rsidRPr="00964F60" w:rsidRDefault="00964F60" w:rsidP="00964F60">
      <w:pPr>
        <w:pStyle w:val="Textoindependiente"/>
        <w:numPr>
          <w:ilvl w:val="0"/>
          <w:numId w:val="36"/>
        </w:numPr>
        <w:tabs>
          <w:tab w:val="num" w:pos="284"/>
        </w:tabs>
        <w:spacing w:after="0"/>
        <w:ind w:left="284" w:firstLine="0"/>
        <w:jc w:val="both"/>
        <w:rPr>
          <w:i/>
          <w:iCs/>
          <w:sz w:val="16"/>
          <w:szCs w:val="16"/>
          <w:lang w:val="es-ES_tradnl"/>
        </w:rPr>
      </w:pPr>
      <w:r w:rsidRPr="00964F60">
        <w:rPr>
          <w:i/>
          <w:iCs/>
          <w:sz w:val="16"/>
          <w:szCs w:val="16"/>
          <w:lang w:val="es-ES_tradnl"/>
        </w:rPr>
        <w:t>Circunstancias de tiempo, lugar y modo.</w:t>
      </w:r>
    </w:p>
    <w:p w:rsidR="00964F60" w:rsidRPr="00964F60" w:rsidRDefault="00964F60" w:rsidP="00964F60">
      <w:pPr>
        <w:pStyle w:val="Textoindependiente"/>
        <w:numPr>
          <w:ilvl w:val="0"/>
          <w:numId w:val="36"/>
        </w:numPr>
        <w:tabs>
          <w:tab w:val="num" w:pos="284"/>
        </w:tabs>
        <w:spacing w:after="0"/>
        <w:ind w:left="284" w:firstLine="0"/>
        <w:jc w:val="both"/>
        <w:rPr>
          <w:i/>
          <w:iCs/>
          <w:sz w:val="16"/>
          <w:szCs w:val="16"/>
          <w:lang w:val="es-ES_tradnl"/>
        </w:rPr>
      </w:pPr>
      <w:r w:rsidRPr="00964F60">
        <w:rPr>
          <w:i/>
          <w:iCs/>
          <w:sz w:val="16"/>
          <w:szCs w:val="16"/>
          <w:lang w:val="es-ES_tradnl"/>
        </w:rPr>
        <w:t>Condiciones del infractor.</w:t>
      </w:r>
    </w:p>
    <w:p w:rsidR="00964F60" w:rsidRPr="00964F60" w:rsidRDefault="00964F60" w:rsidP="00964F60">
      <w:pPr>
        <w:pStyle w:val="Textoindependiente"/>
        <w:numPr>
          <w:ilvl w:val="0"/>
          <w:numId w:val="36"/>
        </w:numPr>
        <w:spacing w:after="0"/>
        <w:ind w:left="567" w:hanging="283"/>
        <w:jc w:val="both"/>
        <w:rPr>
          <w:i/>
          <w:iCs/>
          <w:sz w:val="16"/>
          <w:szCs w:val="16"/>
          <w:lang w:val="es-ES_tradnl"/>
        </w:rPr>
      </w:pPr>
      <w:r w:rsidRPr="00964F60">
        <w:rPr>
          <w:i/>
          <w:iCs/>
          <w:sz w:val="16"/>
          <w:szCs w:val="16"/>
          <w:lang w:val="es-ES_tradnl"/>
        </w:rPr>
        <w:t>Conducta procesal del infractor.</w:t>
      </w:r>
    </w:p>
    <w:p w:rsidR="00964F60" w:rsidRDefault="00964F60" w:rsidP="00964F60">
      <w:pPr>
        <w:pStyle w:val="Textoindependiente"/>
        <w:ind w:left="567"/>
      </w:pPr>
      <w:r w:rsidRPr="00964F60">
        <w:rPr>
          <w:i/>
          <w:iCs/>
          <w:sz w:val="16"/>
          <w:szCs w:val="16"/>
          <w:lang w:val="es-ES_tradnl"/>
        </w:rPr>
        <w:t>El Tribunal podrá disminuir la sanción hasta límites inferiores al mínimo fijado para cada caso, cuando considere que existen circunstancias atenuantes de la responsabilidad del infractor.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01F" w:rsidRDefault="00BE401F" w:rsidP="00BE401F">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BE401F" w:rsidRDefault="00BE401F" w:rsidP="00BE401F">
    <w:pPr>
      <w:pStyle w:val="Encabezado"/>
      <w:rPr>
        <w:noProof/>
      </w:rPr>
    </w:pPr>
  </w:p>
  <w:p w:rsidR="00BE401F" w:rsidRDefault="00BE401F" w:rsidP="00BE401F">
    <w:pPr>
      <w:pStyle w:val="Encabezado"/>
      <w:jc w:val="center"/>
      <w:rPr>
        <w:rFonts w:ascii="Monotype Corsiva" w:hAnsi="Monotype Corsiva"/>
        <w:b/>
        <w:sz w:val="44"/>
        <w:szCs w:val="44"/>
      </w:rPr>
    </w:pPr>
  </w:p>
  <w:p w:rsidR="00BE401F" w:rsidRDefault="00BE401F" w:rsidP="00BE401F">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1181-2011-TC-S1</w:t>
    </w:r>
  </w:p>
  <w:p w:rsidR="00BE401F" w:rsidRDefault="00BE401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63AC2896"/>
    <w:lvl w:ilvl="0" w:tplc="666C9DE2">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4D45921"/>
    <w:multiLevelType w:val="hybridMultilevel"/>
    <w:tmpl w:val="9BBE4E1A"/>
    <w:lvl w:ilvl="0" w:tplc="94A89522">
      <w:start w:val="1"/>
      <w:numFmt w:val="decimal"/>
      <w:lvlText w:val="%1."/>
      <w:lvlJc w:val="left"/>
      <w:pPr>
        <w:tabs>
          <w:tab w:val="num" w:pos="720"/>
        </w:tabs>
        <w:ind w:left="720" w:hanging="360"/>
      </w:pPr>
      <w:rPr>
        <w:b/>
        <w:bCs/>
        <w:i w:val="0"/>
        <w:iCs w:val="0"/>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0D89661A"/>
    <w:multiLevelType w:val="hybridMultilevel"/>
    <w:tmpl w:val="63F06F2C"/>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65109CF8">
      <w:start w:val="1"/>
      <w:numFmt w:val="lowerRoman"/>
      <w:lvlText w:val="(%3)"/>
      <w:lvlJc w:val="left"/>
      <w:pPr>
        <w:tabs>
          <w:tab w:val="num" w:pos="2700"/>
        </w:tabs>
        <w:ind w:left="2700" w:hanging="720"/>
      </w:pPr>
      <w:rPr>
        <w:rFonts w:hint="default"/>
        <w:b/>
        <w:sz w:val="20"/>
        <w:szCs w:val="20"/>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nsid w:val="1E781509"/>
    <w:multiLevelType w:val="hybridMultilevel"/>
    <w:tmpl w:val="186C7146"/>
    <w:lvl w:ilvl="0" w:tplc="0EBC9F84">
      <w:start w:val="1"/>
      <w:numFmt w:val="upperRoman"/>
      <w:lvlText w:val="%1."/>
      <w:lvlJc w:val="right"/>
      <w:pPr>
        <w:ind w:left="1440" w:hanging="360"/>
      </w:pPr>
      <w:rPr>
        <w:b/>
        <w:bCs w:val="0"/>
        <w:sz w:val="20"/>
        <w:szCs w:val="20"/>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9">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nsid w:val="21B9653E"/>
    <w:multiLevelType w:val="hybridMultilevel"/>
    <w:tmpl w:val="8CECE428"/>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nsid w:val="2A604CF2"/>
    <w:multiLevelType w:val="hybridMultilevel"/>
    <w:tmpl w:val="05B2DAE6"/>
    <w:lvl w:ilvl="0" w:tplc="40849812">
      <w:start w:val="1"/>
      <w:numFmt w:val="decimal"/>
      <w:lvlText w:val="%1)"/>
      <w:lvlJc w:val="left"/>
      <w:pPr>
        <w:tabs>
          <w:tab w:val="num" w:pos="720"/>
        </w:tabs>
        <w:ind w:left="72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nsid w:val="2D7C2DCC"/>
    <w:multiLevelType w:val="multilevel"/>
    <w:tmpl w:val="1B2A9BA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6">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3F15A6C"/>
    <w:multiLevelType w:val="hybridMultilevel"/>
    <w:tmpl w:val="FE967A3E"/>
    <w:lvl w:ilvl="0" w:tplc="F96C6012">
      <w:start w:val="1"/>
      <w:numFmt w:val="upperRoman"/>
      <w:lvlText w:val="%1."/>
      <w:lvlJc w:val="right"/>
      <w:pPr>
        <w:ind w:left="1440" w:hanging="360"/>
      </w:pPr>
      <w:rPr>
        <w:b w:val="0"/>
        <w:bCs w:val="0"/>
        <w:sz w:val="20"/>
        <w:szCs w:val="20"/>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8">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9">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21">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2">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4">
    <w:nsid w:val="45A74DF4"/>
    <w:multiLevelType w:val="hybridMultilevel"/>
    <w:tmpl w:val="C2DE4A56"/>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5">
    <w:nsid w:val="48DA1B7A"/>
    <w:multiLevelType w:val="hybridMultilevel"/>
    <w:tmpl w:val="9CD64E12"/>
    <w:lvl w:ilvl="0" w:tplc="0C0A0001">
      <w:start w:val="1"/>
      <w:numFmt w:val="bullet"/>
      <w:lvlText w:val=""/>
      <w:lvlJc w:val="left"/>
      <w:pPr>
        <w:ind w:left="216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6">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8">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9">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2">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4">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5">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6">
    <w:nsid w:val="7FD864EF"/>
    <w:multiLevelType w:val="hybridMultilevel"/>
    <w:tmpl w:val="022A51C2"/>
    <w:lvl w:ilvl="0" w:tplc="4E0EE90C">
      <w:start w:val="2"/>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9"/>
  </w:num>
  <w:num w:numId="4">
    <w:abstractNumId w:val="1"/>
  </w:num>
  <w:num w:numId="5">
    <w:abstractNumId w:val="35"/>
  </w:num>
  <w:num w:numId="6">
    <w:abstractNumId w:val="31"/>
  </w:num>
  <w:num w:numId="7">
    <w:abstractNumId w:val="29"/>
  </w:num>
  <w:num w:numId="8">
    <w:abstractNumId w:val="34"/>
  </w:num>
  <w:num w:numId="9">
    <w:abstractNumId w:val="27"/>
  </w:num>
  <w:num w:numId="10">
    <w:abstractNumId w:val="22"/>
  </w:num>
  <w:num w:numId="11">
    <w:abstractNumId w:val="5"/>
  </w:num>
  <w:num w:numId="12">
    <w:abstractNumId w:val="18"/>
  </w:num>
  <w:num w:numId="13">
    <w:abstractNumId w:val="2"/>
  </w:num>
  <w:num w:numId="14">
    <w:abstractNumId w:val="20"/>
  </w:num>
  <w:num w:numId="15">
    <w:abstractNumId w:val="28"/>
  </w:num>
  <w:num w:numId="16">
    <w:abstractNumId w:val="15"/>
  </w:num>
  <w:num w:numId="17">
    <w:abstractNumId w:val="30"/>
  </w:num>
  <w:num w:numId="18">
    <w:abstractNumId w:val="14"/>
  </w:num>
  <w:num w:numId="19">
    <w:abstractNumId w:val="32"/>
  </w:num>
  <w:num w:numId="20">
    <w:abstractNumId w:val="21"/>
  </w:num>
  <w:num w:numId="21">
    <w:abstractNumId w:val="7"/>
  </w:num>
  <w:num w:numId="22">
    <w:abstractNumId w:val="23"/>
  </w:num>
  <w:num w:numId="23">
    <w:abstractNumId w:val="12"/>
  </w:num>
  <w:num w:numId="24">
    <w:abstractNumId w:val="4"/>
  </w:num>
  <w:num w:numId="25">
    <w:abstractNumId w:val="0"/>
  </w:num>
  <w:num w:numId="26">
    <w:abstractNumId w:val="33"/>
  </w:num>
  <w:num w:numId="27">
    <w:abstractNumId w:val="2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4"/>
  </w:num>
  <w:num w:numId="32">
    <w:abstractNumId w:val="13"/>
  </w:num>
  <w:num w:numId="33">
    <w:abstractNumId w:val="10"/>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9698"/>
  </w:hdrShapeDefaults>
  <w:footnotePr>
    <w:footnote w:id="0"/>
    <w:footnote w:id="1"/>
  </w:footnotePr>
  <w:endnotePr>
    <w:endnote w:id="0"/>
    <w:endnote w:id="1"/>
  </w:endnotePr>
  <w:compat/>
  <w:rsids>
    <w:rsidRoot w:val="00E13E6B"/>
    <w:rsid w:val="00000BF4"/>
    <w:rsid w:val="00016207"/>
    <w:rsid w:val="00027FB1"/>
    <w:rsid w:val="00036145"/>
    <w:rsid w:val="00041FBA"/>
    <w:rsid w:val="00050A76"/>
    <w:rsid w:val="0005582F"/>
    <w:rsid w:val="00076C20"/>
    <w:rsid w:val="00082DF1"/>
    <w:rsid w:val="000B0A8A"/>
    <w:rsid w:val="000B0CEB"/>
    <w:rsid w:val="000B6C24"/>
    <w:rsid w:val="000D61B8"/>
    <w:rsid w:val="000E3E0B"/>
    <w:rsid w:val="000E5424"/>
    <w:rsid w:val="001016D9"/>
    <w:rsid w:val="001337F7"/>
    <w:rsid w:val="00140241"/>
    <w:rsid w:val="00140DE4"/>
    <w:rsid w:val="00163673"/>
    <w:rsid w:val="00164CC7"/>
    <w:rsid w:val="001776B6"/>
    <w:rsid w:val="00187209"/>
    <w:rsid w:val="00187E2A"/>
    <w:rsid w:val="001C1FA6"/>
    <w:rsid w:val="001C5BD6"/>
    <w:rsid w:val="001D44C0"/>
    <w:rsid w:val="001E448B"/>
    <w:rsid w:val="001E71F0"/>
    <w:rsid w:val="001F5C44"/>
    <w:rsid w:val="00206094"/>
    <w:rsid w:val="00214D5E"/>
    <w:rsid w:val="00222218"/>
    <w:rsid w:val="0022267E"/>
    <w:rsid w:val="00231184"/>
    <w:rsid w:val="0023169C"/>
    <w:rsid w:val="00254249"/>
    <w:rsid w:val="002837D2"/>
    <w:rsid w:val="00295C50"/>
    <w:rsid w:val="00331E1A"/>
    <w:rsid w:val="003430DE"/>
    <w:rsid w:val="00351F6F"/>
    <w:rsid w:val="00360AFE"/>
    <w:rsid w:val="003B4F9C"/>
    <w:rsid w:val="004255A5"/>
    <w:rsid w:val="00440D71"/>
    <w:rsid w:val="00442AC8"/>
    <w:rsid w:val="004515EA"/>
    <w:rsid w:val="00455F96"/>
    <w:rsid w:val="00466DC8"/>
    <w:rsid w:val="00484F8C"/>
    <w:rsid w:val="004A2DC1"/>
    <w:rsid w:val="004B72CA"/>
    <w:rsid w:val="004C487F"/>
    <w:rsid w:val="004C5043"/>
    <w:rsid w:val="004E1A73"/>
    <w:rsid w:val="004F2CC5"/>
    <w:rsid w:val="004F7D7C"/>
    <w:rsid w:val="00531D1E"/>
    <w:rsid w:val="005521E5"/>
    <w:rsid w:val="00567032"/>
    <w:rsid w:val="0057348B"/>
    <w:rsid w:val="00595709"/>
    <w:rsid w:val="005B0EEA"/>
    <w:rsid w:val="005B1E24"/>
    <w:rsid w:val="005E3E1C"/>
    <w:rsid w:val="005E6E6D"/>
    <w:rsid w:val="005F3C91"/>
    <w:rsid w:val="0061732A"/>
    <w:rsid w:val="00635F2E"/>
    <w:rsid w:val="00642EE3"/>
    <w:rsid w:val="00645B41"/>
    <w:rsid w:val="0065269D"/>
    <w:rsid w:val="006550D3"/>
    <w:rsid w:val="006B6377"/>
    <w:rsid w:val="006C0A94"/>
    <w:rsid w:val="006C2E41"/>
    <w:rsid w:val="006C5B6A"/>
    <w:rsid w:val="006D0A8D"/>
    <w:rsid w:val="006D2E88"/>
    <w:rsid w:val="006E4E4E"/>
    <w:rsid w:val="006E5571"/>
    <w:rsid w:val="006E5BF8"/>
    <w:rsid w:val="006F0656"/>
    <w:rsid w:val="006F3B1E"/>
    <w:rsid w:val="0070531A"/>
    <w:rsid w:val="007241EC"/>
    <w:rsid w:val="0074555F"/>
    <w:rsid w:val="007570AE"/>
    <w:rsid w:val="00763CC8"/>
    <w:rsid w:val="00766749"/>
    <w:rsid w:val="007728C3"/>
    <w:rsid w:val="00797C9F"/>
    <w:rsid w:val="007A198C"/>
    <w:rsid w:val="007D7DEB"/>
    <w:rsid w:val="007D7E70"/>
    <w:rsid w:val="007E4F29"/>
    <w:rsid w:val="007E6B15"/>
    <w:rsid w:val="008011A4"/>
    <w:rsid w:val="00822C2F"/>
    <w:rsid w:val="00826B5E"/>
    <w:rsid w:val="00835165"/>
    <w:rsid w:val="008422E3"/>
    <w:rsid w:val="008734E8"/>
    <w:rsid w:val="00903A92"/>
    <w:rsid w:val="009066F9"/>
    <w:rsid w:val="00920048"/>
    <w:rsid w:val="0092385F"/>
    <w:rsid w:val="0092699F"/>
    <w:rsid w:val="00932E06"/>
    <w:rsid w:val="00952222"/>
    <w:rsid w:val="00964F60"/>
    <w:rsid w:val="00982D52"/>
    <w:rsid w:val="00992FEE"/>
    <w:rsid w:val="00993C05"/>
    <w:rsid w:val="009B3C77"/>
    <w:rsid w:val="009C2CF7"/>
    <w:rsid w:val="009E1F2A"/>
    <w:rsid w:val="009E3BC8"/>
    <w:rsid w:val="00A36836"/>
    <w:rsid w:val="00A52C81"/>
    <w:rsid w:val="00A9776E"/>
    <w:rsid w:val="00AA6BAC"/>
    <w:rsid w:val="00AA7525"/>
    <w:rsid w:val="00AB0F61"/>
    <w:rsid w:val="00AD4AB5"/>
    <w:rsid w:val="00AE41DD"/>
    <w:rsid w:val="00B05429"/>
    <w:rsid w:val="00B06760"/>
    <w:rsid w:val="00B1735A"/>
    <w:rsid w:val="00B25FCD"/>
    <w:rsid w:val="00B31BA1"/>
    <w:rsid w:val="00B71CFC"/>
    <w:rsid w:val="00BD122E"/>
    <w:rsid w:val="00BE401F"/>
    <w:rsid w:val="00BE51B2"/>
    <w:rsid w:val="00BE67EB"/>
    <w:rsid w:val="00C100CC"/>
    <w:rsid w:val="00C127C1"/>
    <w:rsid w:val="00C15ECB"/>
    <w:rsid w:val="00C5251B"/>
    <w:rsid w:val="00C8148D"/>
    <w:rsid w:val="00C866D0"/>
    <w:rsid w:val="00CB4799"/>
    <w:rsid w:val="00CC3859"/>
    <w:rsid w:val="00CC52A3"/>
    <w:rsid w:val="00CD464E"/>
    <w:rsid w:val="00D002B4"/>
    <w:rsid w:val="00D069FF"/>
    <w:rsid w:val="00D115F8"/>
    <w:rsid w:val="00D13BC9"/>
    <w:rsid w:val="00D43251"/>
    <w:rsid w:val="00D445DC"/>
    <w:rsid w:val="00D66D64"/>
    <w:rsid w:val="00DA127C"/>
    <w:rsid w:val="00DA2C25"/>
    <w:rsid w:val="00DB2F75"/>
    <w:rsid w:val="00DB756D"/>
    <w:rsid w:val="00DC3001"/>
    <w:rsid w:val="00DD1154"/>
    <w:rsid w:val="00DD589B"/>
    <w:rsid w:val="00E124B8"/>
    <w:rsid w:val="00E13E6B"/>
    <w:rsid w:val="00E1470E"/>
    <w:rsid w:val="00E633EF"/>
    <w:rsid w:val="00E77676"/>
    <w:rsid w:val="00E964AA"/>
    <w:rsid w:val="00EC4953"/>
    <w:rsid w:val="00EE4815"/>
    <w:rsid w:val="00EE70F4"/>
    <w:rsid w:val="00EE7A6B"/>
    <w:rsid w:val="00F3647A"/>
    <w:rsid w:val="00F4438A"/>
    <w:rsid w:val="00F50510"/>
    <w:rsid w:val="00F66D53"/>
    <w:rsid w:val="00F77525"/>
    <w:rsid w:val="00F95796"/>
    <w:rsid w:val="00FE5BF4"/>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uiPriority w:val="99"/>
    <w:rsid w:val="00E13E6B"/>
    <w:rPr>
      <w:rFonts w:cs="Times New Roman"/>
      <w:vertAlign w:val="superscript"/>
    </w:rPr>
  </w:style>
  <w:style w:type="paragraph" w:styleId="Prrafodelista">
    <w:name w:val="List Paragraph"/>
    <w:basedOn w:val="Normal"/>
    <w:uiPriority w:val="99"/>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customStyle="1" w:styleId="msonormalcxspmiddle">
    <w:name w:val="msonormalcxspmiddle"/>
    <w:basedOn w:val="Normal"/>
    <w:rsid w:val="005E6E6D"/>
    <w:pPr>
      <w:spacing w:before="100" w:beforeAutospacing="1" w:after="100" w:afterAutospacing="1"/>
    </w:pPr>
    <w:rPr>
      <w:rFonts w:eastAsia="Times New Roman"/>
    </w:rPr>
  </w:style>
  <w:style w:type="paragraph" w:customStyle="1" w:styleId="WW-Textosinformato">
    <w:name w:val="WW-Texto sin formato"/>
    <w:basedOn w:val="Normal"/>
    <w:rsid w:val="00076C20"/>
    <w:pPr>
      <w:suppressAutoHyphens/>
    </w:pPr>
    <w:rPr>
      <w:rFonts w:ascii="Courier New" w:eastAsia="MS Mincho" w:hAnsi="Courier New"/>
      <w:sz w:val="20"/>
      <w:szCs w:val="20"/>
      <w:lang w:val="es-PE"/>
    </w:rPr>
  </w:style>
  <w:style w:type="paragraph" w:styleId="Encabezado">
    <w:name w:val="header"/>
    <w:aliases w:val="maria,h"/>
    <w:basedOn w:val="Normal"/>
    <w:link w:val="EncabezadoCar"/>
    <w:uiPriority w:val="99"/>
    <w:semiHidden/>
    <w:unhideWhenUsed/>
    <w:rsid w:val="00964F60"/>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964F60"/>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05666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18</Pages>
  <Words>7040</Words>
  <Characters>38726</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129</cp:revision>
  <cp:lastPrinted>2011-07-06T20:55:00Z</cp:lastPrinted>
  <dcterms:created xsi:type="dcterms:W3CDTF">2010-04-16T12:41:00Z</dcterms:created>
  <dcterms:modified xsi:type="dcterms:W3CDTF">2011-08-15T15:14:00Z</dcterms:modified>
</cp:coreProperties>
</file>